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EF6" w:rsidRPr="00B16918" w:rsidRDefault="00D70EF6">
      <w:pPr>
        <w:widowControl w:val="0"/>
        <w:pBdr>
          <w:top w:val="nil"/>
          <w:left w:val="nil"/>
          <w:bottom w:val="nil"/>
          <w:right w:val="nil"/>
          <w:between w:val="nil"/>
        </w:pBdr>
        <w:spacing w:after="0" w:line="276" w:lineRule="auto"/>
        <w:rPr>
          <w:rFonts w:ascii="Arial" w:eastAsia="Arial" w:hAnsi="Arial" w:cs="Arial"/>
          <w:color w:val="000000"/>
          <w:sz w:val="22"/>
          <w:szCs w:val="22"/>
          <w:lang w:val="en-US"/>
        </w:rPr>
      </w:pPr>
    </w:p>
    <w:tbl>
      <w:tblPr>
        <w:tblStyle w:val="af8"/>
        <w:tblW w:w="1075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5"/>
        <w:gridCol w:w="1748"/>
        <w:gridCol w:w="111"/>
        <w:gridCol w:w="1350"/>
        <w:gridCol w:w="360"/>
        <w:gridCol w:w="730"/>
        <w:gridCol w:w="875"/>
        <w:gridCol w:w="118"/>
        <w:gridCol w:w="236"/>
        <w:gridCol w:w="1371"/>
        <w:gridCol w:w="2250"/>
        <w:gridCol w:w="894"/>
        <w:gridCol w:w="6"/>
        <w:gridCol w:w="354"/>
        <w:gridCol w:w="6"/>
      </w:tblGrid>
      <w:tr w:rsidR="00D70EF6" w:rsidTr="00B16918">
        <w:trPr>
          <w:trHeight w:val="432"/>
        </w:trPr>
        <w:tc>
          <w:tcPr>
            <w:tcW w:w="10394" w:type="dxa"/>
            <w:gridSpan w:val="13"/>
            <w:shd w:val="clear" w:color="auto" w:fill="D9D9D9"/>
            <w:vAlign w:val="center"/>
          </w:tcPr>
          <w:p w:rsidR="00D70EF6" w:rsidRDefault="00D70EF6">
            <w:pPr>
              <w:spacing w:line="360" w:lineRule="auto"/>
              <w:rPr>
                <w:sz w:val="22"/>
                <w:szCs w:val="22"/>
              </w:rPr>
            </w:pPr>
          </w:p>
        </w:tc>
        <w:tc>
          <w:tcPr>
            <w:tcW w:w="360" w:type="dxa"/>
            <w:gridSpan w:val="2"/>
            <w:vMerge w:val="restart"/>
            <w:shd w:val="clear" w:color="auto" w:fill="D9D9D9"/>
            <w:vAlign w:val="center"/>
          </w:tcPr>
          <w:p w:rsidR="00D70EF6" w:rsidRDefault="00D70EF6">
            <w:pPr>
              <w:spacing w:line="360" w:lineRule="auto"/>
              <w:rPr>
                <w:sz w:val="22"/>
                <w:szCs w:val="22"/>
              </w:rPr>
            </w:pPr>
          </w:p>
        </w:tc>
      </w:tr>
      <w:tr w:rsidR="00D70EF6" w:rsidTr="00B16918">
        <w:trPr>
          <w:trHeight w:val="432"/>
        </w:trPr>
        <w:tc>
          <w:tcPr>
            <w:tcW w:w="345" w:type="dxa"/>
            <w:vMerge w:val="restart"/>
            <w:shd w:val="clear" w:color="auto" w:fill="D9D9D9"/>
            <w:vAlign w:val="center"/>
          </w:tcPr>
          <w:p w:rsidR="00D70EF6" w:rsidRDefault="00D70EF6">
            <w:pPr>
              <w:spacing w:line="360" w:lineRule="auto"/>
              <w:rPr>
                <w:sz w:val="22"/>
                <w:szCs w:val="22"/>
              </w:rPr>
            </w:pPr>
          </w:p>
        </w:tc>
        <w:tc>
          <w:tcPr>
            <w:tcW w:w="1748" w:type="dxa"/>
            <w:shd w:val="clear" w:color="auto" w:fill="D9D9D9"/>
            <w:vAlign w:val="center"/>
          </w:tcPr>
          <w:p w:rsidR="00D70EF6" w:rsidRDefault="002B04E2">
            <w:pPr>
              <w:spacing w:line="360" w:lineRule="auto"/>
              <w:rPr>
                <w:sz w:val="22"/>
                <w:szCs w:val="22"/>
              </w:rPr>
            </w:pPr>
            <w:r>
              <w:rPr>
                <w:sz w:val="22"/>
                <w:szCs w:val="22"/>
              </w:rPr>
              <w:t>Date</w:t>
            </w:r>
          </w:p>
        </w:tc>
        <w:tc>
          <w:tcPr>
            <w:tcW w:w="3426" w:type="dxa"/>
            <w:gridSpan w:val="5"/>
            <w:vAlign w:val="center"/>
          </w:tcPr>
          <w:p w:rsidR="00D70EF6" w:rsidRDefault="002B04E2">
            <w:pPr>
              <w:spacing w:line="360" w:lineRule="auto"/>
              <w:rPr>
                <w:sz w:val="22"/>
                <w:szCs w:val="22"/>
              </w:rPr>
            </w:pPr>
            <w:r>
              <w:rPr>
                <w:sz w:val="22"/>
                <w:szCs w:val="22"/>
              </w:rPr>
              <w:t>1/12/2025</w:t>
            </w:r>
          </w:p>
        </w:tc>
        <w:tc>
          <w:tcPr>
            <w:tcW w:w="1725" w:type="dxa"/>
            <w:gridSpan w:val="3"/>
            <w:shd w:val="clear" w:color="auto" w:fill="D9D9D9"/>
            <w:vAlign w:val="center"/>
          </w:tcPr>
          <w:p w:rsidR="00D70EF6" w:rsidRDefault="002B04E2">
            <w:pPr>
              <w:spacing w:line="360" w:lineRule="auto"/>
              <w:rPr>
                <w:sz w:val="22"/>
                <w:szCs w:val="22"/>
              </w:rPr>
            </w:pPr>
            <w:r>
              <w:rPr>
                <w:sz w:val="22"/>
                <w:szCs w:val="22"/>
              </w:rPr>
              <w:t>Report version</w:t>
            </w:r>
          </w:p>
        </w:tc>
        <w:tc>
          <w:tcPr>
            <w:tcW w:w="3150" w:type="dxa"/>
            <w:gridSpan w:val="3"/>
            <w:vAlign w:val="center"/>
          </w:tcPr>
          <w:p w:rsidR="00D70EF6" w:rsidRDefault="002B04E2">
            <w:pPr>
              <w:spacing w:line="360" w:lineRule="auto"/>
              <w:rPr>
                <w:sz w:val="22"/>
                <w:szCs w:val="22"/>
              </w:rPr>
            </w:pPr>
            <w:r>
              <w:rPr>
                <w:sz w:val="22"/>
                <w:szCs w:val="22"/>
              </w:rPr>
              <w:t>1</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gridAfter w:val="1"/>
          <w:wAfter w:w="6" w:type="dxa"/>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4299" w:type="dxa"/>
            <w:gridSpan w:val="5"/>
            <w:shd w:val="clear" w:color="auto" w:fill="D9D9D9"/>
            <w:vAlign w:val="center"/>
          </w:tcPr>
          <w:p w:rsidR="00D70EF6" w:rsidRDefault="002B04E2">
            <w:pPr>
              <w:spacing w:line="360" w:lineRule="auto"/>
              <w:rPr>
                <w:sz w:val="22"/>
                <w:szCs w:val="22"/>
              </w:rPr>
            </w:pPr>
            <w:r>
              <w:rPr>
                <w:sz w:val="22"/>
                <w:szCs w:val="22"/>
              </w:rPr>
              <w:t>University</w:t>
            </w:r>
          </w:p>
        </w:tc>
        <w:tc>
          <w:tcPr>
            <w:tcW w:w="5744" w:type="dxa"/>
            <w:gridSpan w:val="6"/>
            <w:vAlign w:val="center"/>
          </w:tcPr>
          <w:p w:rsidR="00D70EF6" w:rsidRDefault="002B04E2">
            <w:pPr>
              <w:spacing w:line="360" w:lineRule="auto"/>
              <w:rPr>
                <w:sz w:val="22"/>
                <w:szCs w:val="22"/>
              </w:rPr>
            </w:pPr>
            <w:r>
              <w:rPr>
                <w:sz w:val="22"/>
                <w:szCs w:val="22"/>
              </w:rPr>
              <w:t>University of Fallujah</w:t>
            </w:r>
          </w:p>
        </w:tc>
        <w:tc>
          <w:tcPr>
            <w:tcW w:w="360" w:type="dxa"/>
            <w:gridSpan w:val="2"/>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gridAfter w:val="1"/>
          <w:wAfter w:w="6" w:type="dxa"/>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4299" w:type="dxa"/>
            <w:gridSpan w:val="5"/>
            <w:shd w:val="clear" w:color="auto" w:fill="D9D9D9"/>
            <w:vAlign w:val="center"/>
          </w:tcPr>
          <w:p w:rsidR="00D70EF6" w:rsidRDefault="002B04E2">
            <w:pPr>
              <w:spacing w:line="360" w:lineRule="auto"/>
              <w:rPr>
                <w:sz w:val="22"/>
                <w:szCs w:val="22"/>
              </w:rPr>
            </w:pPr>
            <w:r>
              <w:rPr>
                <w:sz w:val="22"/>
                <w:szCs w:val="22"/>
              </w:rPr>
              <w:t>Address</w:t>
            </w:r>
          </w:p>
        </w:tc>
        <w:tc>
          <w:tcPr>
            <w:tcW w:w="5744" w:type="dxa"/>
            <w:gridSpan w:val="6"/>
            <w:vAlign w:val="center"/>
          </w:tcPr>
          <w:p w:rsidR="00D70EF6" w:rsidRDefault="002B04E2">
            <w:pPr>
              <w:spacing w:line="360" w:lineRule="auto"/>
              <w:rPr>
                <w:sz w:val="22"/>
                <w:szCs w:val="22"/>
              </w:rPr>
            </w:pPr>
            <w:r>
              <w:rPr>
                <w:sz w:val="22"/>
                <w:szCs w:val="22"/>
              </w:rPr>
              <w:t>Fallujah City (saad street)</w:t>
            </w:r>
          </w:p>
        </w:tc>
        <w:tc>
          <w:tcPr>
            <w:tcW w:w="360" w:type="dxa"/>
            <w:gridSpan w:val="2"/>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val="restart"/>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209" w:type="dxa"/>
            <w:gridSpan w:val="3"/>
            <w:shd w:val="clear" w:color="auto" w:fill="D9D9D9"/>
            <w:vAlign w:val="center"/>
          </w:tcPr>
          <w:p w:rsidR="00D70EF6" w:rsidRDefault="002B04E2">
            <w:pPr>
              <w:spacing w:line="360" w:lineRule="auto"/>
              <w:rPr>
                <w:sz w:val="22"/>
                <w:szCs w:val="22"/>
              </w:rPr>
            </w:pPr>
            <w:r>
              <w:rPr>
                <w:sz w:val="22"/>
                <w:szCs w:val="22"/>
              </w:rPr>
              <w:t>Name of University President</w:t>
            </w:r>
          </w:p>
        </w:tc>
        <w:tc>
          <w:tcPr>
            <w:tcW w:w="6840" w:type="dxa"/>
            <w:gridSpan w:val="9"/>
            <w:vAlign w:val="center"/>
          </w:tcPr>
          <w:p w:rsidR="00D70EF6" w:rsidRDefault="002B04E2">
            <w:pPr>
              <w:spacing w:line="360" w:lineRule="auto"/>
              <w:rPr>
                <w:sz w:val="22"/>
                <w:szCs w:val="22"/>
              </w:rPr>
            </w:pPr>
            <w:r>
              <w:rPr>
                <w:sz w:val="22"/>
                <w:szCs w:val="22"/>
              </w:rPr>
              <w:t>Ahmed Suleiman Ahmed</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209" w:type="dxa"/>
            <w:gridSpan w:val="3"/>
            <w:shd w:val="clear" w:color="auto" w:fill="D9D9D9"/>
            <w:vAlign w:val="center"/>
          </w:tcPr>
          <w:p w:rsidR="00D70EF6" w:rsidRDefault="002B04E2">
            <w:pPr>
              <w:spacing w:line="360" w:lineRule="auto"/>
              <w:rPr>
                <w:sz w:val="22"/>
                <w:szCs w:val="22"/>
              </w:rPr>
            </w:pPr>
            <w:r>
              <w:rPr>
                <w:sz w:val="22"/>
                <w:szCs w:val="22"/>
              </w:rPr>
              <w:t>Name of University V.P. FSA</w:t>
            </w:r>
          </w:p>
        </w:tc>
        <w:tc>
          <w:tcPr>
            <w:tcW w:w="6840" w:type="dxa"/>
            <w:gridSpan w:val="9"/>
            <w:vAlign w:val="center"/>
          </w:tcPr>
          <w:p w:rsidR="00D70EF6" w:rsidRDefault="002B04E2">
            <w:pPr>
              <w:spacing w:line="360" w:lineRule="auto"/>
              <w:rPr>
                <w:sz w:val="22"/>
                <w:szCs w:val="22"/>
              </w:rPr>
            </w:pPr>
            <w:r>
              <w:rPr>
                <w:sz w:val="22"/>
                <w:szCs w:val="22"/>
              </w:rPr>
              <w:t>Nahla N. Helal</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569" w:type="dxa"/>
            <w:gridSpan w:val="4"/>
            <w:shd w:val="clear" w:color="auto" w:fill="D9D9D9"/>
            <w:vAlign w:val="center"/>
          </w:tcPr>
          <w:p w:rsidR="00D70EF6" w:rsidRDefault="002B04E2">
            <w:pPr>
              <w:spacing w:line="360" w:lineRule="auto"/>
              <w:rPr>
                <w:sz w:val="22"/>
                <w:szCs w:val="22"/>
              </w:rPr>
            </w:pPr>
            <w:r>
              <w:rPr>
                <w:sz w:val="22"/>
                <w:szCs w:val="22"/>
              </w:rPr>
              <w:t>Name of QA University Director</w:t>
            </w:r>
          </w:p>
        </w:tc>
        <w:tc>
          <w:tcPr>
            <w:tcW w:w="6480" w:type="dxa"/>
            <w:gridSpan w:val="8"/>
            <w:vAlign w:val="center"/>
          </w:tcPr>
          <w:p w:rsidR="00D70EF6" w:rsidRDefault="002B04E2">
            <w:pPr>
              <w:spacing w:line="360" w:lineRule="auto"/>
              <w:rPr>
                <w:sz w:val="22"/>
                <w:szCs w:val="22"/>
              </w:rPr>
            </w:pPr>
            <w:r>
              <w:rPr>
                <w:sz w:val="22"/>
                <w:szCs w:val="22"/>
              </w:rPr>
              <w:t>Ahmed Sami Jarad</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569" w:type="dxa"/>
            <w:gridSpan w:val="4"/>
            <w:shd w:val="clear" w:color="auto" w:fill="D9D9D9"/>
            <w:vAlign w:val="center"/>
          </w:tcPr>
          <w:p w:rsidR="00D70EF6" w:rsidRDefault="002B04E2">
            <w:pPr>
              <w:spacing w:line="360" w:lineRule="auto"/>
              <w:rPr>
                <w:sz w:val="22"/>
                <w:szCs w:val="22"/>
              </w:rPr>
            </w:pPr>
            <w:r>
              <w:rPr>
                <w:sz w:val="22"/>
                <w:szCs w:val="22"/>
              </w:rPr>
              <w:t>Email of QA University Director</w:t>
            </w:r>
          </w:p>
        </w:tc>
        <w:tc>
          <w:tcPr>
            <w:tcW w:w="6480" w:type="dxa"/>
            <w:gridSpan w:val="8"/>
            <w:vAlign w:val="center"/>
          </w:tcPr>
          <w:p w:rsidR="00D70EF6" w:rsidRDefault="002B04E2">
            <w:pPr>
              <w:spacing w:line="360" w:lineRule="auto"/>
              <w:rPr>
                <w:sz w:val="22"/>
                <w:szCs w:val="22"/>
              </w:rPr>
            </w:pPr>
            <w:r>
              <w:rPr>
                <w:sz w:val="22"/>
                <w:szCs w:val="22"/>
              </w:rPr>
              <w:t>quality@uofallujah.edu.iq</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5292" w:type="dxa"/>
            <w:gridSpan w:val="7"/>
            <w:shd w:val="clear" w:color="auto" w:fill="D9D9D9"/>
            <w:vAlign w:val="center"/>
          </w:tcPr>
          <w:p w:rsidR="00D70EF6" w:rsidRDefault="002B04E2">
            <w:pPr>
              <w:spacing w:line="360" w:lineRule="auto"/>
              <w:rPr>
                <w:sz w:val="22"/>
                <w:szCs w:val="22"/>
              </w:rPr>
            </w:pPr>
            <w:r>
              <w:rPr>
                <w:sz w:val="22"/>
                <w:szCs w:val="22"/>
              </w:rPr>
              <w:t>Mobile No.</w:t>
            </w:r>
          </w:p>
        </w:tc>
        <w:tc>
          <w:tcPr>
            <w:tcW w:w="4757" w:type="dxa"/>
            <w:gridSpan w:val="5"/>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859" w:type="dxa"/>
            <w:gridSpan w:val="2"/>
            <w:shd w:val="clear" w:color="auto" w:fill="D9D9D9"/>
            <w:vAlign w:val="center"/>
          </w:tcPr>
          <w:p w:rsidR="00D70EF6" w:rsidRDefault="002B04E2">
            <w:pPr>
              <w:spacing w:line="360" w:lineRule="auto"/>
              <w:rPr>
                <w:sz w:val="22"/>
                <w:szCs w:val="22"/>
              </w:rPr>
            </w:pPr>
            <w:r>
              <w:rPr>
                <w:sz w:val="22"/>
                <w:szCs w:val="22"/>
              </w:rPr>
              <w:t>Academic Year</w:t>
            </w:r>
          </w:p>
        </w:tc>
        <w:tc>
          <w:tcPr>
            <w:tcW w:w="8190" w:type="dxa"/>
            <w:gridSpan w:val="10"/>
            <w:shd w:val="clear" w:color="auto" w:fill="FFFFFF"/>
            <w:vAlign w:val="center"/>
          </w:tcPr>
          <w:p w:rsidR="00D70EF6" w:rsidRDefault="002B04E2">
            <w:pPr>
              <w:spacing w:line="360" w:lineRule="auto"/>
              <w:rPr>
                <w:sz w:val="22"/>
                <w:szCs w:val="22"/>
              </w:rPr>
            </w:pPr>
            <w:r>
              <w:rPr>
                <w:sz w:val="22"/>
                <w:szCs w:val="22"/>
              </w:rPr>
              <w:t>2024-2025</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209" w:type="dxa"/>
            <w:gridSpan w:val="3"/>
            <w:shd w:val="clear" w:color="auto" w:fill="D9D9D9"/>
            <w:vAlign w:val="center"/>
          </w:tcPr>
          <w:p w:rsidR="00D70EF6" w:rsidRDefault="002B04E2">
            <w:pPr>
              <w:spacing w:line="360" w:lineRule="auto"/>
              <w:rPr>
                <w:sz w:val="22"/>
                <w:szCs w:val="22"/>
              </w:rPr>
            </w:pPr>
            <w:r>
              <w:rPr>
                <w:sz w:val="22"/>
                <w:szCs w:val="22"/>
              </w:rPr>
              <w:t>Number of Colleges with BP</w:t>
            </w:r>
          </w:p>
        </w:tc>
        <w:tc>
          <w:tcPr>
            <w:tcW w:w="1965" w:type="dxa"/>
            <w:gridSpan w:val="3"/>
            <w:vAlign w:val="center"/>
          </w:tcPr>
          <w:p w:rsidR="00D70EF6" w:rsidRDefault="002B04E2">
            <w:pPr>
              <w:spacing w:line="360" w:lineRule="auto"/>
              <w:rPr>
                <w:sz w:val="22"/>
                <w:szCs w:val="22"/>
              </w:rPr>
            </w:pPr>
            <w:r>
              <w:rPr>
                <w:sz w:val="22"/>
                <w:szCs w:val="22"/>
              </w:rPr>
              <w:t>3</w:t>
            </w:r>
          </w:p>
        </w:tc>
        <w:tc>
          <w:tcPr>
            <w:tcW w:w="3975" w:type="dxa"/>
            <w:gridSpan w:val="4"/>
            <w:shd w:val="clear" w:color="auto" w:fill="D9D9D9"/>
            <w:vAlign w:val="center"/>
          </w:tcPr>
          <w:p w:rsidR="00D70EF6" w:rsidRDefault="002B04E2">
            <w:pPr>
              <w:spacing w:line="360" w:lineRule="auto"/>
              <w:rPr>
                <w:sz w:val="22"/>
                <w:szCs w:val="22"/>
              </w:rPr>
            </w:pPr>
            <w:r>
              <w:rPr>
                <w:sz w:val="22"/>
                <w:szCs w:val="22"/>
              </w:rPr>
              <w:t>Number of Departments with BP</w:t>
            </w:r>
          </w:p>
        </w:tc>
        <w:tc>
          <w:tcPr>
            <w:tcW w:w="900" w:type="dxa"/>
            <w:gridSpan w:val="2"/>
            <w:vAlign w:val="center"/>
          </w:tcPr>
          <w:p w:rsidR="00D70EF6" w:rsidRDefault="002B04E2">
            <w:pPr>
              <w:spacing w:line="360" w:lineRule="auto"/>
              <w:rPr>
                <w:sz w:val="22"/>
                <w:szCs w:val="22"/>
              </w:rPr>
            </w:pPr>
            <w:r>
              <w:rPr>
                <w:sz w:val="22"/>
                <w:szCs w:val="22"/>
              </w:rPr>
              <w:t>10</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209" w:type="dxa"/>
            <w:gridSpan w:val="3"/>
            <w:shd w:val="clear" w:color="auto" w:fill="D9D9D9"/>
            <w:vAlign w:val="center"/>
          </w:tcPr>
          <w:p w:rsidR="00D70EF6" w:rsidRDefault="002B04E2">
            <w:pPr>
              <w:spacing w:line="360" w:lineRule="auto"/>
              <w:rPr>
                <w:sz w:val="22"/>
                <w:szCs w:val="22"/>
              </w:rPr>
            </w:pPr>
            <w:r>
              <w:rPr>
                <w:sz w:val="22"/>
                <w:szCs w:val="22"/>
              </w:rPr>
              <w:t>Number of Academic Staff</w:t>
            </w:r>
          </w:p>
        </w:tc>
        <w:tc>
          <w:tcPr>
            <w:tcW w:w="1965" w:type="dxa"/>
            <w:gridSpan w:val="3"/>
            <w:vAlign w:val="center"/>
          </w:tcPr>
          <w:p w:rsidR="00D70EF6" w:rsidRDefault="00B16918">
            <w:pPr>
              <w:spacing w:line="360" w:lineRule="auto"/>
              <w:rPr>
                <w:sz w:val="22"/>
                <w:szCs w:val="22"/>
              </w:rPr>
            </w:pPr>
            <w:r>
              <w:rPr>
                <w:sz w:val="22"/>
                <w:szCs w:val="22"/>
              </w:rPr>
              <w:t>680</w:t>
            </w:r>
          </w:p>
        </w:tc>
        <w:tc>
          <w:tcPr>
            <w:tcW w:w="3975" w:type="dxa"/>
            <w:gridSpan w:val="4"/>
            <w:shd w:val="clear" w:color="auto" w:fill="D9D9D9"/>
            <w:vAlign w:val="center"/>
          </w:tcPr>
          <w:p w:rsidR="00D70EF6" w:rsidRDefault="002B04E2">
            <w:pPr>
              <w:spacing w:line="360" w:lineRule="auto"/>
              <w:rPr>
                <w:sz w:val="22"/>
                <w:szCs w:val="22"/>
              </w:rPr>
            </w:pPr>
            <w:r>
              <w:rPr>
                <w:sz w:val="22"/>
                <w:szCs w:val="22"/>
              </w:rPr>
              <w:t>Number of Female Academic Staff</w:t>
            </w:r>
          </w:p>
        </w:tc>
        <w:tc>
          <w:tcPr>
            <w:tcW w:w="900" w:type="dxa"/>
            <w:gridSpan w:val="2"/>
            <w:vAlign w:val="center"/>
          </w:tcPr>
          <w:p w:rsidR="00D70EF6" w:rsidRDefault="00B16918">
            <w:pPr>
              <w:spacing w:line="360" w:lineRule="auto"/>
              <w:rPr>
                <w:sz w:val="22"/>
                <w:szCs w:val="22"/>
              </w:rPr>
            </w:pPr>
            <w:r>
              <w:rPr>
                <w:sz w:val="22"/>
                <w:szCs w:val="22"/>
              </w:rPr>
              <w:t>227</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209" w:type="dxa"/>
            <w:gridSpan w:val="3"/>
            <w:shd w:val="clear" w:color="auto" w:fill="D9D9D9"/>
            <w:vAlign w:val="center"/>
          </w:tcPr>
          <w:p w:rsidR="00D70EF6" w:rsidRDefault="002B04E2">
            <w:pPr>
              <w:spacing w:line="360" w:lineRule="auto"/>
              <w:rPr>
                <w:sz w:val="22"/>
                <w:szCs w:val="22"/>
              </w:rPr>
            </w:pPr>
            <w:r>
              <w:rPr>
                <w:sz w:val="22"/>
                <w:szCs w:val="22"/>
              </w:rPr>
              <w:t>Number of Teaching Staff</w:t>
            </w:r>
          </w:p>
        </w:tc>
        <w:tc>
          <w:tcPr>
            <w:tcW w:w="1965" w:type="dxa"/>
            <w:gridSpan w:val="3"/>
            <w:vAlign w:val="center"/>
          </w:tcPr>
          <w:p w:rsidR="00D70EF6" w:rsidRDefault="00B16918">
            <w:pPr>
              <w:spacing w:line="360" w:lineRule="auto"/>
              <w:rPr>
                <w:sz w:val="22"/>
                <w:szCs w:val="22"/>
              </w:rPr>
            </w:pPr>
            <w:r>
              <w:rPr>
                <w:sz w:val="22"/>
                <w:szCs w:val="22"/>
              </w:rPr>
              <w:t>680</w:t>
            </w:r>
          </w:p>
        </w:tc>
        <w:tc>
          <w:tcPr>
            <w:tcW w:w="3975" w:type="dxa"/>
            <w:gridSpan w:val="4"/>
            <w:shd w:val="clear" w:color="auto" w:fill="D9D9D9"/>
            <w:vAlign w:val="center"/>
          </w:tcPr>
          <w:p w:rsidR="00D70EF6" w:rsidRDefault="002B04E2">
            <w:pPr>
              <w:spacing w:line="360" w:lineRule="auto"/>
              <w:rPr>
                <w:sz w:val="22"/>
                <w:szCs w:val="22"/>
              </w:rPr>
            </w:pPr>
            <w:r>
              <w:rPr>
                <w:sz w:val="22"/>
                <w:szCs w:val="22"/>
              </w:rPr>
              <w:t>Number of Research Staff</w:t>
            </w:r>
          </w:p>
        </w:tc>
        <w:tc>
          <w:tcPr>
            <w:tcW w:w="900" w:type="dxa"/>
            <w:gridSpan w:val="2"/>
            <w:vAlign w:val="center"/>
          </w:tcPr>
          <w:p w:rsidR="00D70EF6" w:rsidRDefault="00B16918">
            <w:pPr>
              <w:spacing w:line="360" w:lineRule="auto"/>
              <w:rPr>
                <w:sz w:val="22"/>
                <w:szCs w:val="22"/>
              </w:rPr>
            </w:pPr>
            <w:r>
              <w:rPr>
                <w:sz w:val="22"/>
                <w:szCs w:val="22"/>
              </w:rPr>
              <w:t>680</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209" w:type="dxa"/>
            <w:gridSpan w:val="3"/>
            <w:shd w:val="clear" w:color="auto" w:fill="D9D9D9"/>
            <w:vAlign w:val="center"/>
          </w:tcPr>
          <w:p w:rsidR="00D70EF6" w:rsidRDefault="002B04E2">
            <w:pPr>
              <w:spacing w:line="360" w:lineRule="auto"/>
              <w:rPr>
                <w:sz w:val="22"/>
                <w:szCs w:val="22"/>
              </w:rPr>
            </w:pPr>
            <w:r>
              <w:rPr>
                <w:sz w:val="22"/>
                <w:szCs w:val="22"/>
              </w:rPr>
              <w:t>Number of B.Sc. Students</w:t>
            </w:r>
          </w:p>
        </w:tc>
        <w:tc>
          <w:tcPr>
            <w:tcW w:w="1965" w:type="dxa"/>
            <w:gridSpan w:val="3"/>
            <w:vAlign w:val="center"/>
          </w:tcPr>
          <w:p w:rsidR="00D70EF6" w:rsidRDefault="00B16918">
            <w:pPr>
              <w:spacing w:line="360" w:lineRule="auto"/>
              <w:rPr>
                <w:sz w:val="22"/>
                <w:szCs w:val="22"/>
              </w:rPr>
            </w:pPr>
            <w:r>
              <w:rPr>
                <w:sz w:val="22"/>
                <w:szCs w:val="22"/>
              </w:rPr>
              <w:t>7449</w:t>
            </w:r>
          </w:p>
        </w:tc>
        <w:tc>
          <w:tcPr>
            <w:tcW w:w="3975" w:type="dxa"/>
            <w:gridSpan w:val="4"/>
            <w:shd w:val="clear" w:color="auto" w:fill="D9D9D9"/>
            <w:vAlign w:val="center"/>
          </w:tcPr>
          <w:p w:rsidR="00D70EF6" w:rsidRDefault="002B04E2">
            <w:pPr>
              <w:spacing w:line="360" w:lineRule="auto"/>
              <w:rPr>
                <w:sz w:val="22"/>
                <w:szCs w:val="22"/>
              </w:rPr>
            </w:pPr>
            <w:r>
              <w:rPr>
                <w:sz w:val="22"/>
                <w:szCs w:val="22"/>
              </w:rPr>
              <w:t>Number of Female B.Sc. Students</w:t>
            </w:r>
          </w:p>
        </w:tc>
        <w:tc>
          <w:tcPr>
            <w:tcW w:w="900" w:type="dxa"/>
            <w:gridSpan w:val="2"/>
            <w:vAlign w:val="center"/>
          </w:tcPr>
          <w:p w:rsidR="00D70EF6" w:rsidRDefault="00B16918">
            <w:pPr>
              <w:spacing w:line="360" w:lineRule="auto"/>
              <w:rPr>
                <w:sz w:val="22"/>
                <w:szCs w:val="22"/>
              </w:rPr>
            </w:pPr>
            <w:r>
              <w:rPr>
                <w:sz w:val="22"/>
                <w:szCs w:val="22"/>
              </w:rPr>
              <w:t>3485</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209" w:type="dxa"/>
            <w:gridSpan w:val="3"/>
            <w:shd w:val="clear" w:color="auto" w:fill="D9D9D9"/>
            <w:vAlign w:val="center"/>
          </w:tcPr>
          <w:p w:rsidR="00D70EF6" w:rsidRDefault="002B04E2">
            <w:pPr>
              <w:spacing w:line="360" w:lineRule="auto"/>
              <w:rPr>
                <w:sz w:val="22"/>
                <w:szCs w:val="22"/>
              </w:rPr>
            </w:pPr>
            <w:r>
              <w:rPr>
                <w:sz w:val="22"/>
                <w:szCs w:val="22"/>
              </w:rPr>
              <w:t>Number of Levels with BP</w:t>
            </w:r>
          </w:p>
        </w:tc>
        <w:tc>
          <w:tcPr>
            <w:tcW w:w="1965" w:type="dxa"/>
            <w:gridSpan w:val="3"/>
            <w:vAlign w:val="center"/>
          </w:tcPr>
          <w:p w:rsidR="00D70EF6" w:rsidRDefault="002B04E2">
            <w:pPr>
              <w:spacing w:line="360" w:lineRule="auto"/>
              <w:rPr>
                <w:sz w:val="22"/>
                <w:szCs w:val="22"/>
              </w:rPr>
            </w:pPr>
            <w:r>
              <w:rPr>
                <w:sz w:val="22"/>
                <w:szCs w:val="22"/>
              </w:rPr>
              <w:t>1</w:t>
            </w:r>
          </w:p>
        </w:tc>
        <w:tc>
          <w:tcPr>
            <w:tcW w:w="3975" w:type="dxa"/>
            <w:gridSpan w:val="4"/>
            <w:shd w:val="clear" w:color="auto" w:fill="D9D9D9"/>
            <w:vAlign w:val="center"/>
          </w:tcPr>
          <w:p w:rsidR="00D70EF6" w:rsidRDefault="002B04E2">
            <w:pPr>
              <w:spacing w:line="360" w:lineRule="auto"/>
              <w:rPr>
                <w:sz w:val="22"/>
                <w:szCs w:val="22"/>
              </w:rPr>
            </w:pPr>
            <w:r>
              <w:rPr>
                <w:sz w:val="22"/>
                <w:szCs w:val="22"/>
              </w:rPr>
              <w:t>Number of Total Modules with BP</w:t>
            </w:r>
          </w:p>
        </w:tc>
        <w:tc>
          <w:tcPr>
            <w:tcW w:w="900" w:type="dxa"/>
            <w:gridSpan w:val="2"/>
            <w:vAlign w:val="center"/>
          </w:tcPr>
          <w:p w:rsidR="00D70EF6" w:rsidRDefault="002B04E2">
            <w:pPr>
              <w:spacing w:line="360" w:lineRule="auto"/>
              <w:rPr>
                <w:sz w:val="22"/>
                <w:szCs w:val="22"/>
              </w:rPr>
            </w:pPr>
            <w:r>
              <w:rPr>
                <w:sz w:val="22"/>
                <w:szCs w:val="22"/>
              </w:rPr>
              <w:t>120</w:t>
            </w: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10049" w:type="dxa"/>
            <w:gridSpan w:val="12"/>
            <w:shd w:val="clear" w:color="auto" w:fill="D9D9D9"/>
            <w:vAlign w:val="center"/>
          </w:tcPr>
          <w:p w:rsidR="00D70EF6" w:rsidRDefault="00D70EF6">
            <w:pPr>
              <w:spacing w:line="360" w:lineRule="auto"/>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345" w:type="dxa"/>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c>
          <w:tcPr>
            <w:tcW w:w="3209" w:type="dxa"/>
            <w:gridSpan w:val="3"/>
            <w:shd w:val="clear" w:color="auto" w:fill="D9D9D9"/>
            <w:vAlign w:val="center"/>
          </w:tcPr>
          <w:p w:rsidR="00D70EF6" w:rsidRDefault="002B04E2">
            <w:pPr>
              <w:spacing w:line="360" w:lineRule="auto"/>
              <w:rPr>
                <w:sz w:val="22"/>
                <w:szCs w:val="22"/>
              </w:rPr>
            </w:pPr>
            <w:r>
              <w:rPr>
                <w:sz w:val="22"/>
                <w:szCs w:val="22"/>
              </w:rPr>
              <w:t>Name of LMS Platform</w:t>
            </w:r>
          </w:p>
        </w:tc>
        <w:tc>
          <w:tcPr>
            <w:tcW w:w="6840" w:type="dxa"/>
            <w:gridSpan w:val="9"/>
            <w:vAlign w:val="center"/>
          </w:tcPr>
          <w:p w:rsidR="00D70EF6" w:rsidRDefault="00D70EF6">
            <w:pPr>
              <w:spacing w:line="360" w:lineRule="auto"/>
              <w:rPr>
                <w:sz w:val="22"/>
                <w:szCs w:val="22"/>
              </w:rPr>
            </w:pPr>
          </w:p>
          <w:p w:rsidR="00D70EF6" w:rsidRDefault="00D70EF6">
            <w:pPr>
              <w:rPr>
                <w:sz w:val="22"/>
                <w:szCs w:val="22"/>
              </w:rPr>
            </w:pPr>
          </w:p>
        </w:tc>
        <w:tc>
          <w:tcPr>
            <w:tcW w:w="360" w:type="dxa"/>
            <w:gridSpan w:val="2"/>
            <w:vMerge/>
            <w:shd w:val="clear" w:color="auto" w:fill="D9D9D9"/>
            <w:vAlign w:val="center"/>
          </w:tcPr>
          <w:p w:rsidR="00D70EF6" w:rsidRDefault="00D70EF6">
            <w:pPr>
              <w:widowControl w:val="0"/>
              <w:pBdr>
                <w:top w:val="nil"/>
                <w:left w:val="nil"/>
                <w:bottom w:val="nil"/>
                <w:right w:val="nil"/>
                <w:between w:val="nil"/>
              </w:pBdr>
              <w:spacing w:line="276" w:lineRule="auto"/>
              <w:rPr>
                <w:sz w:val="22"/>
                <w:szCs w:val="22"/>
              </w:rPr>
            </w:pPr>
          </w:p>
        </w:tc>
      </w:tr>
      <w:tr w:rsidR="00D70EF6" w:rsidTr="00B16918">
        <w:trPr>
          <w:trHeight w:val="432"/>
        </w:trPr>
        <w:tc>
          <w:tcPr>
            <w:tcW w:w="10754" w:type="dxa"/>
            <w:gridSpan w:val="15"/>
            <w:shd w:val="clear" w:color="auto" w:fill="D9D9D9"/>
            <w:vAlign w:val="center"/>
          </w:tcPr>
          <w:p w:rsidR="00D70EF6" w:rsidRDefault="00D70EF6">
            <w:pPr>
              <w:spacing w:line="360" w:lineRule="auto"/>
              <w:rPr>
                <w:sz w:val="22"/>
                <w:szCs w:val="22"/>
              </w:rPr>
            </w:pPr>
          </w:p>
        </w:tc>
      </w:tr>
      <w:tr w:rsidR="00D70EF6" w:rsidTr="00B16918">
        <w:trPr>
          <w:gridAfter w:val="9"/>
          <w:wAfter w:w="6110" w:type="dxa"/>
          <w:trHeight w:val="381"/>
        </w:trPr>
        <w:tc>
          <w:tcPr>
            <w:tcW w:w="345" w:type="dxa"/>
            <w:vMerge w:val="restart"/>
            <w:shd w:val="clear" w:color="auto" w:fill="D9D9D9"/>
          </w:tcPr>
          <w:p w:rsidR="00D70EF6" w:rsidRDefault="00D70EF6">
            <w:pPr>
              <w:spacing w:before="80" w:line="360" w:lineRule="auto"/>
              <w:jc w:val="both"/>
              <w:rPr>
                <w:rFonts w:ascii="Calibri" w:eastAsia="Calibri" w:hAnsi="Calibri" w:cs="Calibri"/>
                <w:sz w:val="16"/>
                <w:szCs w:val="16"/>
              </w:rPr>
            </w:pPr>
          </w:p>
        </w:tc>
        <w:tc>
          <w:tcPr>
            <w:tcW w:w="4299" w:type="dxa"/>
            <w:gridSpan w:val="5"/>
            <w:shd w:val="clear" w:color="auto" w:fill="D9D9D9"/>
          </w:tcPr>
          <w:p w:rsidR="00D70EF6" w:rsidRDefault="00D70EF6">
            <w:pPr>
              <w:spacing w:before="80" w:line="360" w:lineRule="auto"/>
              <w:jc w:val="both"/>
              <w:rPr>
                <w:rFonts w:ascii="Calibri" w:eastAsia="Calibri" w:hAnsi="Calibri" w:cs="Calibri"/>
                <w:sz w:val="16"/>
                <w:szCs w:val="16"/>
              </w:rPr>
            </w:pPr>
          </w:p>
        </w:tc>
      </w:tr>
      <w:tr w:rsidR="00D70EF6" w:rsidTr="00B16918">
        <w:trPr>
          <w:gridAfter w:val="6"/>
          <w:wAfter w:w="4881" w:type="dxa"/>
        </w:trPr>
        <w:tc>
          <w:tcPr>
            <w:tcW w:w="345" w:type="dxa"/>
            <w:vMerge/>
            <w:shd w:val="clear" w:color="auto" w:fill="D9D9D9"/>
          </w:tcPr>
          <w:p w:rsidR="00D70EF6" w:rsidRDefault="00D70EF6">
            <w:pPr>
              <w:widowControl w:val="0"/>
              <w:pBdr>
                <w:top w:val="nil"/>
                <w:left w:val="nil"/>
                <w:bottom w:val="nil"/>
                <w:right w:val="nil"/>
                <w:between w:val="nil"/>
              </w:pBdr>
              <w:spacing w:line="276" w:lineRule="auto"/>
              <w:rPr>
                <w:rFonts w:ascii="Calibri" w:eastAsia="Calibri" w:hAnsi="Calibri" w:cs="Calibri"/>
                <w:sz w:val="16"/>
                <w:szCs w:val="16"/>
              </w:rPr>
            </w:pPr>
          </w:p>
        </w:tc>
        <w:tc>
          <w:tcPr>
            <w:tcW w:w="1748" w:type="dxa"/>
          </w:tcPr>
          <w:p w:rsidR="00D70EF6" w:rsidRDefault="002B04E2">
            <w:pPr>
              <w:spacing w:before="80" w:line="360" w:lineRule="auto"/>
              <w:jc w:val="both"/>
              <w:rPr>
                <w:rFonts w:ascii="Calibri" w:eastAsia="Calibri" w:hAnsi="Calibri" w:cs="Calibri"/>
                <w:sz w:val="16"/>
                <w:szCs w:val="16"/>
              </w:rPr>
            </w:pPr>
            <w:hyperlink r:id="rId8">
              <w:r>
                <w:rPr>
                  <w:rFonts w:ascii="Calibri" w:eastAsia="Calibri" w:hAnsi="Calibri" w:cs="Calibri"/>
                  <w:color w:val="0D2E46"/>
                  <w:sz w:val="16"/>
                  <w:szCs w:val="16"/>
                  <w:u w:val="single"/>
                </w:rPr>
                <w:t>https://www.uofallujah.edu.iq/</w:t>
              </w:r>
            </w:hyperlink>
            <w:r>
              <w:rPr>
                <w:rFonts w:ascii="Calibri" w:eastAsia="Calibri" w:hAnsi="Calibri" w:cs="Calibri"/>
                <w:sz w:val="16"/>
                <w:szCs w:val="16"/>
              </w:rPr>
              <w:t xml:space="preserve"> </w:t>
            </w:r>
          </w:p>
        </w:tc>
        <w:tc>
          <w:tcPr>
            <w:tcW w:w="3544" w:type="dxa"/>
            <w:gridSpan w:val="6"/>
            <w:shd w:val="clear" w:color="auto" w:fill="D9D9D9"/>
          </w:tcPr>
          <w:p w:rsidR="00D70EF6" w:rsidRDefault="002B04E2">
            <w:pPr>
              <w:spacing w:before="80" w:line="360" w:lineRule="auto"/>
              <w:rPr>
                <w:sz w:val="22"/>
                <w:szCs w:val="22"/>
              </w:rPr>
            </w:pPr>
            <w:r>
              <w:rPr>
                <w:sz w:val="22"/>
                <w:szCs w:val="22"/>
              </w:rPr>
              <w:t>University website URL</w:t>
            </w:r>
          </w:p>
        </w:tc>
        <w:tc>
          <w:tcPr>
            <w:tcW w:w="236" w:type="dxa"/>
            <w:shd w:val="clear" w:color="auto" w:fill="D9D9D9"/>
          </w:tcPr>
          <w:p w:rsidR="00D70EF6" w:rsidRDefault="00D70EF6">
            <w:pPr>
              <w:spacing w:before="80" w:line="360" w:lineRule="auto"/>
              <w:jc w:val="both"/>
              <w:rPr>
                <w:rFonts w:ascii="Calibri" w:eastAsia="Calibri" w:hAnsi="Calibri" w:cs="Calibri"/>
                <w:sz w:val="16"/>
                <w:szCs w:val="16"/>
              </w:rPr>
            </w:pPr>
          </w:p>
        </w:tc>
      </w:tr>
      <w:tr w:rsidR="00D70EF6" w:rsidTr="00B16918">
        <w:trPr>
          <w:gridAfter w:val="6"/>
          <w:wAfter w:w="4881" w:type="dxa"/>
        </w:trPr>
        <w:tc>
          <w:tcPr>
            <w:tcW w:w="345" w:type="dxa"/>
            <w:vMerge/>
            <w:shd w:val="clear" w:color="auto" w:fill="D9D9D9"/>
          </w:tcPr>
          <w:p w:rsidR="00D70EF6" w:rsidRDefault="00D70EF6">
            <w:pPr>
              <w:widowControl w:val="0"/>
              <w:pBdr>
                <w:top w:val="nil"/>
                <w:left w:val="nil"/>
                <w:bottom w:val="nil"/>
                <w:right w:val="nil"/>
                <w:between w:val="nil"/>
              </w:pBdr>
              <w:spacing w:line="276" w:lineRule="auto"/>
              <w:rPr>
                <w:rFonts w:ascii="Calibri" w:eastAsia="Calibri" w:hAnsi="Calibri" w:cs="Calibri"/>
                <w:sz w:val="16"/>
                <w:szCs w:val="16"/>
              </w:rPr>
            </w:pPr>
          </w:p>
        </w:tc>
        <w:tc>
          <w:tcPr>
            <w:tcW w:w="5292" w:type="dxa"/>
            <w:gridSpan w:val="7"/>
            <w:shd w:val="clear" w:color="auto" w:fill="D9D9D9"/>
          </w:tcPr>
          <w:p w:rsidR="00D70EF6" w:rsidRDefault="00D70EF6">
            <w:pPr>
              <w:spacing w:before="80" w:line="360" w:lineRule="auto"/>
              <w:jc w:val="right"/>
              <w:rPr>
                <w:rFonts w:ascii="Calibri" w:eastAsia="Calibri" w:hAnsi="Calibri" w:cs="Calibri"/>
                <w:sz w:val="16"/>
                <w:szCs w:val="16"/>
              </w:rPr>
            </w:pPr>
          </w:p>
        </w:tc>
        <w:tc>
          <w:tcPr>
            <w:tcW w:w="236" w:type="dxa"/>
            <w:shd w:val="clear" w:color="auto" w:fill="D9D9D9"/>
          </w:tcPr>
          <w:p w:rsidR="00D70EF6" w:rsidRDefault="00D70EF6">
            <w:pPr>
              <w:spacing w:before="80" w:line="360" w:lineRule="auto"/>
              <w:jc w:val="right"/>
              <w:rPr>
                <w:rFonts w:ascii="Calibri" w:eastAsia="Calibri" w:hAnsi="Calibri" w:cs="Calibri"/>
                <w:sz w:val="16"/>
                <w:szCs w:val="16"/>
              </w:rPr>
            </w:pPr>
          </w:p>
        </w:tc>
      </w:tr>
      <w:tr w:rsidR="00D70EF6" w:rsidTr="00B16918">
        <w:trPr>
          <w:gridAfter w:val="6"/>
          <w:wAfter w:w="4881" w:type="dxa"/>
        </w:trPr>
        <w:tc>
          <w:tcPr>
            <w:tcW w:w="345" w:type="dxa"/>
            <w:vMerge/>
            <w:shd w:val="clear" w:color="auto" w:fill="D9D9D9"/>
          </w:tcPr>
          <w:p w:rsidR="00D70EF6" w:rsidRDefault="00D70EF6">
            <w:pPr>
              <w:widowControl w:val="0"/>
              <w:pBdr>
                <w:top w:val="nil"/>
                <w:left w:val="nil"/>
                <w:bottom w:val="nil"/>
                <w:right w:val="nil"/>
                <w:between w:val="nil"/>
              </w:pBdr>
              <w:spacing w:line="276" w:lineRule="auto"/>
              <w:rPr>
                <w:rFonts w:ascii="Calibri" w:eastAsia="Calibri" w:hAnsi="Calibri" w:cs="Calibri"/>
                <w:sz w:val="16"/>
                <w:szCs w:val="16"/>
              </w:rPr>
            </w:pPr>
          </w:p>
        </w:tc>
        <w:tc>
          <w:tcPr>
            <w:tcW w:w="1748" w:type="dxa"/>
          </w:tcPr>
          <w:p w:rsidR="00D70EF6" w:rsidRDefault="002B04E2">
            <w:pPr>
              <w:spacing w:before="80" w:line="360" w:lineRule="auto"/>
              <w:jc w:val="both"/>
              <w:rPr>
                <w:rFonts w:ascii="Calibri" w:eastAsia="Calibri" w:hAnsi="Calibri" w:cs="Calibri"/>
                <w:sz w:val="16"/>
                <w:szCs w:val="16"/>
              </w:rPr>
            </w:pPr>
            <w:hyperlink r:id="rId9">
              <w:r>
                <w:rPr>
                  <w:rFonts w:ascii="Calibri" w:eastAsia="Calibri" w:hAnsi="Calibri" w:cs="Calibri"/>
                  <w:color w:val="0D2E46"/>
                  <w:sz w:val="16"/>
                  <w:szCs w:val="16"/>
                  <w:u w:val="single"/>
                </w:rPr>
                <w:t>https://www.uofallujah.edu.iq/en/quality-assurance-and-university-performance-department</w:t>
              </w:r>
            </w:hyperlink>
            <w:r>
              <w:rPr>
                <w:rFonts w:ascii="Calibri" w:eastAsia="Calibri" w:hAnsi="Calibri" w:cs="Calibri"/>
                <w:sz w:val="16"/>
                <w:szCs w:val="16"/>
              </w:rPr>
              <w:t xml:space="preserve"> </w:t>
            </w:r>
          </w:p>
        </w:tc>
        <w:tc>
          <w:tcPr>
            <w:tcW w:w="3544" w:type="dxa"/>
            <w:gridSpan w:val="6"/>
            <w:shd w:val="clear" w:color="auto" w:fill="D9D9D9"/>
          </w:tcPr>
          <w:p w:rsidR="00D70EF6" w:rsidRDefault="002B04E2">
            <w:pPr>
              <w:spacing w:before="80" w:line="360" w:lineRule="auto"/>
              <w:rPr>
                <w:sz w:val="22"/>
                <w:szCs w:val="22"/>
              </w:rPr>
            </w:pPr>
            <w:r>
              <w:rPr>
                <w:sz w:val="22"/>
                <w:szCs w:val="22"/>
              </w:rPr>
              <w:t>Quality Assurance URL</w:t>
            </w:r>
          </w:p>
        </w:tc>
        <w:tc>
          <w:tcPr>
            <w:tcW w:w="236" w:type="dxa"/>
            <w:shd w:val="clear" w:color="auto" w:fill="D9D9D9"/>
          </w:tcPr>
          <w:p w:rsidR="00D70EF6" w:rsidRDefault="00D70EF6">
            <w:pPr>
              <w:spacing w:before="80" w:line="360" w:lineRule="auto"/>
              <w:jc w:val="both"/>
              <w:rPr>
                <w:rFonts w:ascii="Calibri" w:eastAsia="Calibri" w:hAnsi="Calibri" w:cs="Calibri"/>
                <w:sz w:val="16"/>
                <w:szCs w:val="16"/>
              </w:rPr>
            </w:pPr>
          </w:p>
        </w:tc>
      </w:tr>
      <w:tr w:rsidR="00D70EF6" w:rsidTr="00B16918">
        <w:trPr>
          <w:gridAfter w:val="6"/>
          <w:wAfter w:w="4881" w:type="dxa"/>
        </w:trPr>
        <w:tc>
          <w:tcPr>
            <w:tcW w:w="345" w:type="dxa"/>
            <w:vMerge/>
            <w:shd w:val="clear" w:color="auto" w:fill="D9D9D9"/>
          </w:tcPr>
          <w:p w:rsidR="00D70EF6" w:rsidRDefault="00D70EF6">
            <w:pPr>
              <w:widowControl w:val="0"/>
              <w:pBdr>
                <w:top w:val="nil"/>
                <w:left w:val="nil"/>
                <w:bottom w:val="nil"/>
                <w:right w:val="nil"/>
                <w:between w:val="nil"/>
              </w:pBdr>
              <w:spacing w:line="276" w:lineRule="auto"/>
              <w:rPr>
                <w:rFonts w:ascii="Calibri" w:eastAsia="Calibri" w:hAnsi="Calibri" w:cs="Calibri"/>
                <w:sz w:val="16"/>
                <w:szCs w:val="16"/>
              </w:rPr>
            </w:pPr>
          </w:p>
        </w:tc>
        <w:tc>
          <w:tcPr>
            <w:tcW w:w="5292" w:type="dxa"/>
            <w:gridSpan w:val="7"/>
            <w:shd w:val="clear" w:color="auto" w:fill="D9D9D9"/>
          </w:tcPr>
          <w:p w:rsidR="00D70EF6" w:rsidRDefault="00D70EF6">
            <w:pPr>
              <w:spacing w:before="80" w:line="360" w:lineRule="auto"/>
              <w:rPr>
                <w:sz w:val="16"/>
                <w:szCs w:val="16"/>
              </w:rPr>
            </w:pPr>
          </w:p>
        </w:tc>
        <w:tc>
          <w:tcPr>
            <w:tcW w:w="236" w:type="dxa"/>
            <w:shd w:val="clear" w:color="auto" w:fill="D9D9D9"/>
          </w:tcPr>
          <w:p w:rsidR="00D70EF6" w:rsidRDefault="00D70EF6">
            <w:pPr>
              <w:spacing w:before="80" w:line="360" w:lineRule="auto"/>
              <w:jc w:val="both"/>
              <w:rPr>
                <w:rFonts w:ascii="Calibri" w:eastAsia="Calibri" w:hAnsi="Calibri" w:cs="Calibri"/>
                <w:sz w:val="16"/>
                <w:szCs w:val="16"/>
              </w:rPr>
            </w:pPr>
          </w:p>
        </w:tc>
      </w:tr>
      <w:tr w:rsidR="00D70EF6" w:rsidTr="00B16918">
        <w:trPr>
          <w:gridAfter w:val="6"/>
          <w:wAfter w:w="4881" w:type="dxa"/>
        </w:trPr>
        <w:tc>
          <w:tcPr>
            <w:tcW w:w="345" w:type="dxa"/>
            <w:vMerge/>
            <w:shd w:val="clear" w:color="auto" w:fill="D9D9D9"/>
          </w:tcPr>
          <w:p w:rsidR="00D70EF6" w:rsidRDefault="00D70EF6">
            <w:pPr>
              <w:widowControl w:val="0"/>
              <w:pBdr>
                <w:top w:val="nil"/>
                <w:left w:val="nil"/>
                <w:bottom w:val="nil"/>
                <w:right w:val="nil"/>
                <w:between w:val="nil"/>
              </w:pBdr>
              <w:spacing w:line="276" w:lineRule="auto"/>
              <w:rPr>
                <w:rFonts w:ascii="Calibri" w:eastAsia="Calibri" w:hAnsi="Calibri" w:cs="Calibri"/>
                <w:sz w:val="16"/>
                <w:szCs w:val="16"/>
              </w:rPr>
            </w:pPr>
          </w:p>
        </w:tc>
        <w:tc>
          <w:tcPr>
            <w:tcW w:w="1748" w:type="dxa"/>
          </w:tcPr>
          <w:p w:rsidR="00D70EF6" w:rsidRDefault="002B04E2">
            <w:pPr>
              <w:spacing w:before="80" w:line="360" w:lineRule="auto"/>
              <w:jc w:val="both"/>
              <w:rPr>
                <w:rFonts w:ascii="Calibri" w:eastAsia="Calibri" w:hAnsi="Calibri" w:cs="Calibri"/>
                <w:sz w:val="16"/>
                <w:szCs w:val="16"/>
              </w:rPr>
            </w:pPr>
            <w:hyperlink r:id="rId10">
              <w:r>
                <w:rPr>
                  <w:rFonts w:ascii="Calibri" w:eastAsia="Calibri" w:hAnsi="Calibri" w:cs="Calibri"/>
                  <w:color w:val="0D2E46"/>
                  <w:sz w:val="16"/>
                  <w:szCs w:val="16"/>
                  <w:u w:val="single"/>
                </w:rPr>
                <w:t>https://www.uofallujah.edu.iq/en/quality-assurance-bologna</w:t>
              </w:r>
            </w:hyperlink>
            <w:r>
              <w:rPr>
                <w:rFonts w:ascii="Calibri" w:eastAsia="Calibri" w:hAnsi="Calibri" w:cs="Calibri"/>
                <w:sz w:val="16"/>
                <w:szCs w:val="16"/>
              </w:rPr>
              <w:t xml:space="preserve"> </w:t>
            </w:r>
          </w:p>
        </w:tc>
        <w:tc>
          <w:tcPr>
            <w:tcW w:w="3544" w:type="dxa"/>
            <w:gridSpan w:val="6"/>
            <w:shd w:val="clear" w:color="auto" w:fill="D9D9D9"/>
          </w:tcPr>
          <w:p w:rsidR="00D70EF6" w:rsidRDefault="002B04E2">
            <w:pPr>
              <w:spacing w:before="80" w:line="360" w:lineRule="auto"/>
              <w:rPr>
                <w:sz w:val="22"/>
                <w:szCs w:val="22"/>
              </w:rPr>
            </w:pPr>
            <w:r>
              <w:rPr>
                <w:sz w:val="22"/>
                <w:szCs w:val="22"/>
              </w:rPr>
              <w:t>5-year Strategic planning URL</w:t>
            </w:r>
          </w:p>
        </w:tc>
        <w:tc>
          <w:tcPr>
            <w:tcW w:w="236" w:type="dxa"/>
            <w:shd w:val="clear" w:color="auto" w:fill="D9D9D9"/>
          </w:tcPr>
          <w:p w:rsidR="00D70EF6" w:rsidRDefault="00D70EF6">
            <w:pPr>
              <w:spacing w:before="80" w:line="360" w:lineRule="auto"/>
              <w:jc w:val="both"/>
              <w:rPr>
                <w:rFonts w:ascii="Calibri" w:eastAsia="Calibri" w:hAnsi="Calibri" w:cs="Calibri"/>
                <w:sz w:val="16"/>
                <w:szCs w:val="16"/>
              </w:rPr>
            </w:pPr>
          </w:p>
        </w:tc>
      </w:tr>
      <w:tr w:rsidR="00D70EF6" w:rsidTr="00B16918">
        <w:trPr>
          <w:gridAfter w:val="9"/>
          <w:wAfter w:w="6110" w:type="dxa"/>
        </w:trPr>
        <w:tc>
          <w:tcPr>
            <w:tcW w:w="345" w:type="dxa"/>
            <w:vMerge/>
            <w:shd w:val="clear" w:color="auto" w:fill="D9D9D9"/>
          </w:tcPr>
          <w:p w:rsidR="00D70EF6" w:rsidRDefault="00D70EF6">
            <w:pPr>
              <w:widowControl w:val="0"/>
              <w:pBdr>
                <w:top w:val="nil"/>
                <w:left w:val="nil"/>
                <w:bottom w:val="nil"/>
                <w:right w:val="nil"/>
                <w:between w:val="nil"/>
              </w:pBdr>
              <w:spacing w:line="276" w:lineRule="auto"/>
              <w:rPr>
                <w:rFonts w:ascii="Calibri" w:eastAsia="Calibri" w:hAnsi="Calibri" w:cs="Calibri"/>
                <w:sz w:val="16"/>
                <w:szCs w:val="16"/>
              </w:rPr>
            </w:pPr>
          </w:p>
        </w:tc>
        <w:tc>
          <w:tcPr>
            <w:tcW w:w="4299" w:type="dxa"/>
            <w:gridSpan w:val="5"/>
            <w:shd w:val="clear" w:color="auto" w:fill="D9D9D9"/>
          </w:tcPr>
          <w:p w:rsidR="00D70EF6" w:rsidRDefault="00D70EF6">
            <w:pPr>
              <w:spacing w:before="80" w:line="360" w:lineRule="auto"/>
              <w:jc w:val="both"/>
              <w:rPr>
                <w:rFonts w:ascii="Calibri" w:eastAsia="Calibri" w:hAnsi="Calibri" w:cs="Calibri"/>
                <w:sz w:val="16"/>
                <w:szCs w:val="16"/>
              </w:rPr>
            </w:pPr>
          </w:p>
        </w:tc>
      </w:tr>
    </w:tbl>
    <w:p w:rsidR="00D70EF6" w:rsidRDefault="00D70EF6">
      <w:pPr>
        <w:bidi/>
        <w:spacing w:before="80" w:line="360" w:lineRule="auto"/>
        <w:jc w:val="both"/>
        <w:rPr>
          <w:rFonts w:ascii="Calibri" w:eastAsia="Calibri" w:hAnsi="Calibri" w:cs="Calibri"/>
          <w:sz w:val="16"/>
          <w:szCs w:val="16"/>
          <w:rtl/>
          <w:lang w:bidi="ar-IQ"/>
        </w:rPr>
      </w:pPr>
    </w:p>
    <w:p w:rsidR="00B16918" w:rsidRDefault="00B16918" w:rsidP="00B16918">
      <w:pPr>
        <w:bidi/>
        <w:spacing w:before="80" w:line="360" w:lineRule="auto"/>
        <w:jc w:val="both"/>
        <w:rPr>
          <w:rFonts w:ascii="Calibri" w:eastAsia="Calibri" w:hAnsi="Calibri" w:cs="Calibri"/>
          <w:sz w:val="16"/>
          <w:szCs w:val="16"/>
          <w:rtl/>
          <w:lang w:bidi="ar-IQ"/>
        </w:rPr>
      </w:pPr>
    </w:p>
    <w:p w:rsidR="00B16918" w:rsidRDefault="00B16918" w:rsidP="00B16918">
      <w:pPr>
        <w:bidi/>
        <w:spacing w:before="80" w:line="360" w:lineRule="auto"/>
        <w:jc w:val="both"/>
        <w:rPr>
          <w:rFonts w:ascii="Calibri" w:eastAsia="Calibri" w:hAnsi="Calibri" w:cs="Calibri" w:hint="cs"/>
          <w:sz w:val="16"/>
          <w:szCs w:val="16"/>
          <w:lang w:bidi="ar-IQ"/>
        </w:rPr>
      </w:pPr>
    </w:p>
    <w:p w:rsidR="00D70EF6" w:rsidRDefault="00D70EF6">
      <w:pPr>
        <w:bidi/>
        <w:spacing w:before="80" w:line="360" w:lineRule="auto"/>
        <w:jc w:val="both"/>
        <w:rPr>
          <w:rFonts w:ascii="Calibri" w:eastAsia="Calibri" w:hAnsi="Calibri" w:cs="Calibri"/>
          <w:sz w:val="16"/>
          <w:szCs w:val="16"/>
        </w:rPr>
      </w:pPr>
    </w:p>
    <w:tbl>
      <w:tblPr>
        <w:tblStyle w:val="af9"/>
        <w:tblW w:w="1079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21"/>
        <w:gridCol w:w="567"/>
        <w:gridCol w:w="774"/>
        <w:gridCol w:w="8378"/>
        <w:gridCol w:w="655"/>
      </w:tblGrid>
      <w:tr w:rsidR="00D70EF6">
        <w:trPr>
          <w:trHeight w:val="109"/>
        </w:trPr>
        <w:tc>
          <w:tcPr>
            <w:tcW w:w="10140" w:type="dxa"/>
            <w:gridSpan w:val="4"/>
          </w:tcPr>
          <w:p w:rsidR="00D70EF6" w:rsidRDefault="002B04E2">
            <w:pPr>
              <w:tabs>
                <w:tab w:val="left" w:pos="8436"/>
              </w:tabs>
              <w:spacing w:after="120"/>
              <w:rPr>
                <w:rFonts w:ascii="Calibri" w:eastAsia="Calibri" w:hAnsi="Calibri" w:cs="Calibri"/>
                <w:b/>
                <w:bCs/>
                <w:sz w:val="22"/>
                <w:szCs w:val="22"/>
              </w:rPr>
            </w:pPr>
            <w:r>
              <w:rPr>
                <w:rFonts w:ascii="Calibri" w:eastAsia="Calibri" w:hAnsi="Calibri" w:cs="Calibri"/>
                <w:b/>
                <w:bCs/>
                <w:sz w:val="22"/>
                <w:szCs w:val="22"/>
              </w:rPr>
              <w:lastRenderedPageBreak/>
              <w:t>List of Content</w:t>
            </w:r>
          </w:p>
        </w:tc>
        <w:tc>
          <w:tcPr>
            <w:tcW w:w="655" w:type="dxa"/>
          </w:tcPr>
          <w:p w:rsidR="00D70EF6" w:rsidRDefault="00D70EF6">
            <w:pPr>
              <w:tabs>
                <w:tab w:val="left" w:pos="8436"/>
              </w:tabs>
              <w:spacing w:after="120"/>
              <w:rPr>
                <w:rFonts w:ascii="Calibri" w:eastAsia="Calibri" w:hAnsi="Calibri" w:cs="Calibri"/>
                <w:sz w:val="22"/>
                <w:szCs w:val="22"/>
              </w:rPr>
            </w:pPr>
          </w:p>
        </w:tc>
      </w:tr>
      <w:tr w:rsidR="00D70EF6">
        <w:tc>
          <w:tcPr>
            <w:tcW w:w="10795" w:type="dxa"/>
            <w:gridSpan w:val="5"/>
            <w:shd w:val="clear" w:color="auto" w:fill="D9D9D9"/>
          </w:tcPr>
          <w:p w:rsidR="00D70EF6" w:rsidRDefault="002B04E2">
            <w:pPr>
              <w:tabs>
                <w:tab w:val="left" w:pos="2625"/>
                <w:tab w:val="right" w:pos="10579"/>
              </w:tabs>
              <w:spacing w:after="12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Page</w:t>
            </w:r>
          </w:p>
        </w:tc>
      </w:tr>
      <w:tr w:rsidR="00D70EF6">
        <w:tc>
          <w:tcPr>
            <w:tcW w:w="421"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w:t>
            </w:r>
          </w:p>
        </w:tc>
        <w:tc>
          <w:tcPr>
            <w:tcW w:w="9719" w:type="dxa"/>
            <w:gridSpan w:val="3"/>
          </w:tcPr>
          <w:p w:rsidR="00D70EF6" w:rsidRDefault="002B04E2">
            <w:pPr>
              <w:spacing w:after="120"/>
              <w:rPr>
                <w:rFonts w:ascii="Calibri" w:eastAsia="Calibri" w:hAnsi="Calibri" w:cs="Calibri"/>
                <w:sz w:val="22"/>
                <w:szCs w:val="22"/>
              </w:rPr>
            </w:pPr>
            <w:r>
              <w:rPr>
                <w:rFonts w:ascii="Calibri" w:eastAsia="Calibri" w:hAnsi="Calibri" w:cs="Calibri"/>
                <w:sz w:val="22"/>
                <w:szCs w:val="22"/>
              </w:rPr>
              <w:t>Preface</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w:t>
            </w:r>
          </w:p>
        </w:tc>
      </w:tr>
      <w:tr w:rsidR="00D70EF6">
        <w:tc>
          <w:tcPr>
            <w:tcW w:w="421"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2</w:t>
            </w:r>
          </w:p>
        </w:tc>
        <w:tc>
          <w:tcPr>
            <w:tcW w:w="9719" w:type="dxa"/>
            <w:gridSpan w:val="3"/>
          </w:tcPr>
          <w:p w:rsidR="00D70EF6" w:rsidRDefault="002B04E2">
            <w:pPr>
              <w:spacing w:after="120"/>
              <w:rPr>
                <w:rFonts w:ascii="Calibri" w:eastAsia="Calibri" w:hAnsi="Calibri" w:cs="Calibri"/>
                <w:sz w:val="22"/>
                <w:szCs w:val="22"/>
              </w:rPr>
            </w:pPr>
            <w:r>
              <w:rPr>
                <w:rFonts w:ascii="Calibri" w:eastAsia="Calibri" w:hAnsi="Calibri" w:cs="Calibri"/>
                <w:sz w:val="22"/>
                <w:szCs w:val="22"/>
              </w:rPr>
              <w:t>Report Summary</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2</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2.1</w:t>
            </w:r>
          </w:p>
        </w:tc>
        <w:tc>
          <w:tcPr>
            <w:tcW w:w="9152" w:type="dxa"/>
            <w:gridSpan w:val="2"/>
          </w:tcPr>
          <w:p w:rsidR="00D70EF6" w:rsidRDefault="002B04E2">
            <w:pPr>
              <w:spacing w:after="120"/>
              <w:rPr>
                <w:rFonts w:ascii="Calibri" w:eastAsia="Calibri" w:hAnsi="Calibri" w:cs="Calibri"/>
                <w:sz w:val="22"/>
                <w:szCs w:val="22"/>
              </w:rPr>
            </w:pPr>
            <w:r>
              <w:rPr>
                <w:rFonts w:ascii="Calibri" w:eastAsia="Calibri" w:hAnsi="Calibri" w:cs="Calibri"/>
                <w:sz w:val="22"/>
                <w:szCs w:val="22"/>
              </w:rPr>
              <w:t>ESG-2015 Standards</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3</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2.1.1</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Policy for quality assurance</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4</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2.1.2</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Design and approval of programmes</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5</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2.1.3</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Student-centered learning, teaching and assessment</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6</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2.1.4</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Student admission, progression, recognition and certification</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7</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2.1.5</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Teaching staff</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8</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2.1.6</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Learning resources and student support</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9</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2.1.7</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Information management</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10</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2.1.8</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Public information</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11</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2.1.9</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On-going monitoring and periodic review of programmes</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12</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D70EF6">
            <w:pPr>
              <w:spacing w:after="120"/>
              <w:rPr>
                <w:rFonts w:ascii="Calibri" w:eastAsia="Calibri" w:hAnsi="Calibri" w:cs="Calibri"/>
                <w:sz w:val="22"/>
                <w:szCs w:val="22"/>
              </w:rPr>
            </w:pPr>
          </w:p>
        </w:tc>
        <w:tc>
          <w:tcPr>
            <w:tcW w:w="774" w:type="dxa"/>
          </w:tcPr>
          <w:p w:rsidR="00D70EF6" w:rsidRDefault="002B04E2">
            <w:pPr>
              <w:spacing w:after="120"/>
              <w:jc w:val="right"/>
              <w:rPr>
                <w:rFonts w:ascii="Calibri" w:eastAsia="Calibri" w:hAnsi="Calibri" w:cs="Calibri"/>
                <w:sz w:val="22"/>
                <w:szCs w:val="22"/>
              </w:rPr>
            </w:pPr>
            <w:r>
              <w:rPr>
                <w:rFonts w:ascii="Calibri" w:eastAsia="Calibri" w:hAnsi="Calibri" w:cs="Calibri"/>
                <w:sz w:val="22"/>
                <w:szCs w:val="22"/>
              </w:rPr>
              <w:t>2.1.10</w:t>
            </w:r>
          </w:p>
        </w:tc>
        <w:tc>
          <w:tcPr>
            <w:tcW w:w="8378"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Cyclical external quality assurance</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13</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2.2</w:t>
            </w:r>
          </w:p>
        </w:tc>
        <w:tc>
          <w:tcPr>
            <w:tcW w:w="9152" w:type="dxa"/>
            <w:gridSpan w:val="2"/>
          </w:tcPr>
          <w:p w:rsidR="00D70EF6" w:rsidRDefault="002B04E2">
            <w:pPr>
              <w:spacing w:after="120"/>
              <w:rPr>
                <w:rFonts w:ascii="Calibri" w:eastAsia="Calibri" w:hAnsi="Calibri" w:cs="Calibri"/>
                <w:sz w:val="22"/>
                <w:szCs w:val="22"/>
              </w:rPr>
            </w:pPr>
            <w:r>
              <w:rPr>
                <w:rFonts w:ascii="Calibri" w:eastAsia="Calibri" w:hAnsi="Calibri" w:cs="Calibri"/>
                <w:sz w:val="22"/>
                <w:szCs w:val="22"/>
              </w:rPr>
              <w:t>General statistics on Student achievement, marks and grade</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15</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2.3</w:t>
            </w:r>
          </w:p>
        </w:tc>
        <w:tc>
          <w:tcPr>
            <w:tcW w:w="9152" w:type="dxa"/>
            <w:gridSpan w:val="2"/>
          </w:tcPr>
          <w:p w:rsidR="00D70EF6" w:rsidRDefault="002B04E2">
            <w:pPr>
              <w:spacing w:after="120"/>
              <w:rPr>
                <w:rFonts w:ascii="Calibri" w:eastAsia="Calibri" w:hAnsi="Calibri" w:cs="Calibri"/>
                <w:sz w:val="22"/>
                <w:szCs w:val="22"/>
              </w:rPr>
            </w:pPr>
            <w:r>
              <w:rPr>
                <w:rFonts w:ascii="Calibri" w:eastAsia="Calibri" w:hAnsi="Calibri" w:cs="Calibri"/>
                <w:sz w:val="22"/>
                <w:szCs w:val="22"/>
              </w:rPr>
              <w:t>General statistics on research</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16</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2.3</w:t>
            </w:r>
          </w:p>
        </w:tc>
        <w:tc>
          <w:tcPr>
            <w:tcW w:w="9152" w:type="dxa"/>
            <w:gridSpan w:val="2"/>
          </w:tcPr>
          <w:p w:rsidR="00D70EF6" w:rsidRDefault="002B04E2">
            <w:pPr>
              <w:spacing w:after="120"/>
              <w:rPr>
                <w:rFonts w:ascii="Calibri" w:eastAsia="Calibri" w:hAnsi="Calibri" w:cs="Calibri"/>
                <w:sz w:val="22"/>
                <w:szCs w:val="22"/>
              </w:rPr>
            </w:pPr>
            <w:r>
              <w:rPr>
                <w:rFonts w:ascii="Calibri" w:eastAsia="Calibri" w:hAnsi="Calibri" w:cs="Calibri"/>
                <w:sz w:val="22"/>
                <w:szCs w:val="22"/>
              </w:rPr>
              <w:t>General Recommendations and notes</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17</w:t>
            </w:r>
          </w:p>
        </w:tc>
      </w:tr>
      <w:tr w:rsidR="00D70EF6">
        <w:tc>
          <w:tcPr>
            <w:tcW w:w="421" w:type="dxa"/>
          </w:tcPr>
          <w:p w:rsidR="00D70EF6" w:rsidRDefault="00D70EF6">
            <w:pPr>
              <w:spacing w:after="120"/>
              <w:rPr>
                <w:rFonts w:ascii="Calibri" w:eastAsia="Calibri" w:hAnsi="Calibri" w:cs="Calibri"/>
                <w:sz w:val="22"/>
                <w:szCs w:val="22"/>
              </w:rPr>
            </w:pPr>
          </w:p>
        </w:tc>
        <w:tc>
          <w:tcPr>
            <w:tcW w:w="567"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2.4</w:t>
            </w:r>
          </w:p>
        </w:tc>
        <w:tc>
          <w:tcPr>
            <w:tcW w:w="9152" w:type="dxa"/>
            <w:gridSpan w:val="2"/>
          </w:tcPr>
          <w:p w:rsidR="00D70EF6" w:rsidRDefault="002B04E2">
            <w:pPr>
              <w:spacing w:after="120"/>
              <w:rPr>
                <w:rFonts w:ascii="Calibri" w:eastAsia="Calibri" w:hAnsi="Calibri" w:cs="Calibri"/>
                <w:sz w:val="22"/>
                <w:szCs w:val="22"/>
              </w:rPr>
            </w:pPr>
            <w:r>
              <w:rPr>
                <w:rFonts w:ascii="Calibri" w:eastAsia="Calibri" w:hAnsi="Calibri" w:cs="Calibri"/>
                <w:sz w:val="22"/>
                <w:szCs w:val="22"/>
              </w:rPr>
              <w:t>List of programs (Departments) that follow Bologna Process.</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18</w:t>
            </w:r>
          </w:p>
        </w:tc>
      </w:tr>
      <w:tr w:rsidR="00D70EF6">
        <w:tc>
          <w:tcPr>
            <w:tcW w:w="421" w:type="dxa"/>
          </w:tcPr>
          <w:p w:rsidR="00D70EF6" w:rsidRDefault="00D70EF6">
            <w:pPr>
              <w:spacing w:after="120"/>
              <w:rPr>
                <w:rFonts w:ascii="Calibri" w:eastAsia="Calibri" w:hAnsi="Calibri" w:cs="Calibri"/>
                <w:sz w:val="22"/>
                <w:szCs w:val="22"/>
              </w:rPr>
            </w:pPr>
          </w:p>
        </w:tc>
        <w:tc>
          <w:tcPr>
            <w:tcW w:w="9719" w:type="dxa"/>
            <w:gridSpan w:val="3"/>
          </w:tcPr>
          <w:p w:rsidR="00D70EF6" w:rsidRDefault="002B04E2">
            <w:pPr>
              <w:spacing w:after="120"/>
              <w:rPr>
                <w:rFonts w:ascii="Calibri" w:eastAsia="Calibri" w:hAnsi="Calibri" w:cs="Calibri"/>
                <w:sz w:val="22"/>
                <w:szCs w:val="22"/>
              </w:rPr>
            </w:pPr>
            <w:r>
              <w:rPr>
                <w:rFonts w:ascii="Calibri" w:eastAsia="Calibri" w:hAnsi="Calibri" w:cs="Calibri"/>
                <w:sz w:val="22"/>
                <w:szCs w:val="22"/>
              </w:rPr>
              <w:t>Appendix: Academic Performance Indicator report</w:t>
            </w:r>
          </w:p>
        </w:tc>
        <w:tc>
          <w:tcPr>
            <w:tcW w:w="655" w:type="dxa"/>
          </w:tcPr>
          <w:p w:rsidR="00D70EF6" w:rsidRDefault="002B04E2">
            <w:pPr>
              <w:spacing w:after="120"/>
              <w:rPr>
                <w:rFonts w:ascii="Calibri" w:eastAsia="Calibri" w:hAnsi="Calibri" w:cs="Calibri"/>
                <w:sz w:val="22"/>
                <w:szCs w:val="22"/>
              </w:rPr>
            </w:pPr>
            <w:r>
              <w:rPr>
                <w:rFonts w:ascii="Calibri" w:eastAsia="Calibri" w:hAnsi="Calibri" w:cs="Calibri"/>
                <w:sz w:val="22"/>
                <w:szCs w:val="22"/>
              </w:rPr>
              <w:t>19</w:t>
            </w:r>
          </w:p>
        </w:tc>
      </w:tr>
      <w:tr w:rsidR="00D70EF6">
        <w:trPr>
          <w:trHeight w:val="198"/>
        </w:trPr>
        <w:tc>
          <w:tcPr>
            <w:tcW w:w="10795" w:type="dxa"/>
            <w:gridSpan w:val="5"/>
            <w:shd w:val="clear" w:color="auto" w:fill="D9D9D9"/>
          </w:tcPr>
          <w:p w:rsidR="00D70EF6" w:rsidRDefault="00D70EF6">
            <w:pPr>
              <w:spacing w:after="120"/>
              <w:rPr>
                <w:rFonts w:ascii="Calibri" w:eastAsia="Calibri" w:hAnsi="Calibri" w:cs="Calibri"/>
                <w:sz w:val="16"/>
                <w:szCs w:val="16"/>
              </w:rPr>
            </w:pPr>
          </w:p>
        </w:tc>
      </w:tr>
    </w:tbl>
    <w:p w:rsidR="00D70EF6" w:rsidRDefault="002B04E2">
      <w:pPr>
        <w:numPr>
          <w:ilvl w:val="0"/>
          <w:numId w:val="12"/>
        </w:numPr>
        <w:pBdr>
          <w:top w:val="single" w:sz="4" w:space="1" w:color="000000"/>
          <w:left w:val="single" w:sz="4" w:space="4" w:color="000000"/>
          <w:bottom w:val="single" w:sz="4" w:space="1" w:color="000000"/>
          <w:right w:val="single" w:sz="4" w:space="4" w:color="000000"/>
          <w:between w:val="nil"/>
        </w:pBdr>
        <w:shd w:val="clear" w:color="auto" w:fill="D9D9D9"/>
        <w:spacing w:before="80" w:line="360" w:lineRule="auto"/>
        <w:ind w:left="284" w:hanging="284"/>
        <w:rPr>
          <w:b/>
          <w:bCs/>
          <w:color w:val="000000"/>
        </w:rPr>
      </w:pPr>
      <w:r>
        <w:rPr>
          <w:b/>
          <w:bCs/>
          <w:color w:val="000000"/>
        </w:rPr>
        <w:t>PREFACE</w:t>
      </w:r>
    </w:p>
    <w:p w:rsidR="00D70EF6" w:rsidRDefault="002B04E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University of Fallujah adopts the Bologna Process as an institutional framework to ensure the quality of teaching and learning. Through systematic monitoring, evaluation, and continuous improvement across its colleges, the University aligns its academi</w:t>
      </w:r>
      <w:r>
        <w:rPr>
          <w:rFonts w:ascii="Times New Roman" w:eastAsia="Times New Roman" w:hAnsi="Times New Roman" w:cs="Times New Roman"/>
          <w:color w:val="000000"/>
          <w:sz w:val="24"/>
          <w:szCs w:val="24"/>
        </w:rPr>
        <w:t>c programs with international benchmarks, particularly the European Standards and Guidelines for Quality Assurance in Higher Education (ESG-2015). This integrated quality assurance approach supports the development of competent graduates responsive to labo</w:t>
      </w:r>
      <w:r>
        <w:rPr>
          <w:rFonts w:ascii="Times New Roman" w:eastAsia="Times New Roman" w:hAnsi="Times New Roman" w:cs="Times New Roman"/>
          <w:color w:val="000000"/>
          <w:sz w:val="24"/>
          <w:szCs w:val="24"/>
        </w:rPr>
        <w:t>ur market needs, promotes scientific research, and enhances the University’s role in community service. By fostering academic excellence and institutional effectiveness, the University strengthens its national and international competitiveness and prepares</w:t>
      </w:r>
      <w:r>
        <w:rPr>
          <w:rFonts w:ascii="Times New Roman" w:eastAsia="Times New Roman" w:hAnsi="Times New Roman" w:cs="Times New Roman"/>
          <w:color w:val="000000"/>
          <w:sz w:val="24"/>
          <w:szCs w:val="24"/>
        </w:rPr>
        <w:t xml:space="preserve"> qualified human resources capable of contributing to sustainable development and addressing future challenges.</w:t>
      </w:r>
    </w:p>
    <w:p w:rsidR="00D70EF6" w:rsidRDefault="00D70E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D70EF6" w:rsidRDefault="00D70E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D70EF6" w:rsidRDefault="002B04E2">
      <w:pPr>
        <w:numPr>
          <w:ilvl w:val="0"/>
          <w:numId w:val="12"/>
        </w:numPr>
        <w:pBdr>
          <w:top w:val="single" w:sz="4" w:space="1" w:color="000000"/>
          <w:left w:val="single" w:sz="4" w:space="4" w:color="000000"/>
          <w:bottom w:val="single" w:sz="4" w:space="1" w:color="000000"/>
          <w:right w:val="single" w:sz="4" w:space="4" w:color="000000"/>
          <w:between w:val="nil"/>
        </w:pBdr>
        <w:shd w:val="clear" w:color="auto" w:fill="D9D9D9"/>
        <w:spacing w:before="80" w:line="360" w:lineRule="auto"/>
        <w:ind w:left="284" w:hanging="194"/>
        <w:rPr>
          <w:b/>
          <w:bCs/>
          <w:color w:val="000000"/>
          <w:sz w:val="22"/>
          <w:szCs w:val="22"/>
        </w:rPr>
      </w:pPr>
      <w:r>
        <w:rPr>
          <w:b/>
          <w:bCs/>
          <w:color w:val="000000"/>
          <w:sz w:val="22"/>
          <w:szCs w:val="22"/>
        </w:rPr>
        <w:t>Report Summary</w:t>
      </w:r>
    </w:p>
    <w:p w:rsidR="00D70EF6" w:rsidRPr="00B16918" w:rsidRDefault="002B04E2">
      <w:pPr>
        <w:spacing w:before="280" w:after="280" w:line="240" w:lineRule="auto"/>
        <w:rPr>
          <w:rStyle w:val="ad"/>
        </w:rPr>
      </w:pPr>
      <w:r w:rsidRPr="00B16918">
        <w:rPr>
          <w:rStyle w:val="ad"/>
        </w:rPr>
        <w:t>This report presents a comprehensive institutional assessment of the University’s performance in the field of academic quality assurance, in alignment with the European Standards and Guidelines for Quality Assurance in Higher Education (ESG-2015). It begin</w:t>
      </w:r>
      <w:r w:rsidRPr="00B16918">
        <w:rPr>
          <w:rStyle w:val="ad"/>
        </w:rPr>
        <w:t>s with an explanatory overview outlining the main elements related to the quality of education across the University’s colleges.</w:t>
      </w:r>
    </w:p>
    <w:p w:rsidR="00D70EF6" w:rsidRPr="00B16918" w:rsidRDefault="002B04E2">
      <w:pPr>
        <w:spacing w:before="280" w:after="280" w:line="240" w:lineRule="auto"/>
        <w:rPr>
          <w:rStyle w:val="ad"/>
        </w:rPr>
      </w:pPr>
      <w:r w:rsidRPr="00B16918">
        <w:rPr>
          <w:rStyle w:val="ad"/>
        </w:rPr>
        <w:t>The evaluation covers key areas of the University’s quality system, including quality assurance policies, mechanisms for design</w:t>
      </w:r>
      <w:r w:rsidRPr="00B16918">
        <w:rPr>
          <w:rStyle w:val="ad"/>
        </w:rPr>
        <w:t>ing and accrediting academic programs, and the adoption of student-centered learning, teaching, and assessment. It also reviews the organization of admission procedures, academic progression pathways, and the recognition of qualifications.</w:t>
      </w:r>
    </w:p>
    <w:p w:rsidR="00D70EF6" w:rsidRPr="00B16918" w:rsidRDefault="002B04E2">
      <w:pPr>
        <w:spacing w:before="280" w:after="280" w:line="240" w:lineRule="auto"/>
        <w:rPr>
          <w:rStyle w:val="ad"/>
        </w:rPr>
      </w:pPr>
      <w:r w:rsidRPr="00B16918">
        <w:rPr>
          <w:rStyle w:val="ad"/>
        </w:rPr>
        <w:t>Further areas as</w:t>
      </w:r>
      <w:r w:rsidRPr="00B16918">
        <w:rPr>
          <w:rStyle w:val="ad"/>
        </w:rPr>
        <w:t>sessed include the performance of academic staff, the adequacy of learning resources, the effectiveness of student support services, and the efficiency of information management and transparency practices. The report also examines the processes for continu</w:t>
      </w:r>
      <w:r w:rsidRPr="00B16918">
        <w:rPr>
          <w:rStyle w:val="ad"/>
        </w:rPr>
        <w:t>ous monitoring and periodic review of academic programs, as well as the implementation of external quality assurance measures.</w:t>
      </w:r>
    </w:p>
    <w:p w:rsidR="00D70EF6" w:rsidRPr="00B16918" w:rsidRDefault="002B04E2">
      <w:pPr>
        <w:spacing w:before="280" w:after="280" w:line="240" w:lineRule="auto"/>
        <w:rPr>
          <w:rStyle w:val="ad"/>
        </w:rPr>
      </w:pPr>
      <w:r w:rsidRPr="00B16918">
        <w:rPr>
          <w:rStyle w:val="ad"/>
        </w:rPr>
        <w:t>From a statistical perspective, the report provides general data on student achievement, grades, and academic outcomes, in additi</w:t>
      </w:r>
      <w:r w:rsidRPr="00B16918">
        <w:rPr>
          <w:rStyle w:val="ad"/>
        </w:rPr>
        <w:t>on to an overview of the University’s research activities. It concludes with key observations and recommendations aimed at strengthening continuous quality enhancement. The report also includes a consolidated list o</w:t>
      </w:r>
      <w:bookmarkStart w:id="0" w:name="_GoBack"/>
      <w:bookmarkEnd w:id="0"/>
      <w:r w:rsidRPr="00B16918">
        <w:rPr>
          <w:rStyle w:val="ad"/>
        </w:rPr>
        <w:t>f programs aligned with the Bologna Proce</w:t>
      </w:r>
      <w:r w:rsidRPr="00B16918">
        <w:rPr>
          <w:rStyle w:val="ad"/>
        </w:rPr>
        <w:t>ss, followed by an appendix containing detailed academic performance indicators that support evidence-based evaluation and decision-making.</w:t>
      </w:r>
    </w:p>
    <w:p w:rsidR="00D70EF6" w:rsidRDefault="00D70EF6">
      <w:pPr>
        <w:spacing w:before="280" w:after="280" w:line="240" w:lineRule="auto"/>
        <w:rPr>
          <w:rFonts w:ascii="Times New Roman" w:eastAsia="Times New Roman" w:hAnsi="Times New Roman" w:cs="Times New Roman"/>
          <w:sz w:val="24"/>
          <w:szCs w:val="24"/>
        </w:rPr>
      </w:pPr>
    </w:p>
    <w:p w:rsidR="00D70EF6" w:rsidRDefault="00D70EF6">
      <w:pPr>
        <w:spacing w:before="280" w:after="280" w:line="240" w:lineRule="auto"/>
        <w:rPr>
          <w:rFonts w:ascii="Times New Roman" w:eastAsia="Times New Roman" w:hAnsi="Times New Roman" w:cs="Times New Roman"/>
          <w:sz w:val="24"/>
          <w:szCs w:val="24"/>
        </w:rPr>
      </w:pPr>
    </w:p>
    <w:p w:rsidR="00D70EF6" w:rsidRDefault="002B04E2">
      <w:pPr>
        <w:numPr>
          <w:ilvl w:val="1"/>
          <w:numId w:val="12"/>
        </w:numPr>
        <w:pBdr>
          <w:top w:val="single" w:sz="4" w:space="1" w:color="000000"/>
          <w:left w:val="single" w:sz="4" w:space="0" w:color="000000"/>
          <w:bottom w:val="single" w:sz="4" w:space="1" w:color="000000"/>
          <w:right w:val="single" w:sz="4" w:space="4" w:color="000000"/>
          <w:between w:val="nil"/>
        </w:pBdr>
        <w:shd w:val="clear" w:color="auto" w:fill="D9D9D9"/>
        <w:spacing w:before="80" w:line="360" w:lineRule="auto"/>
        <w:ind w:left="360" w:hanging="360"/>
        <w:rPr>
          <w:b/>
          <w:bCs/>
          <w:color w:val="000000"/>
        </w:rPr>
      </w:pPr>
      <w:r>
        <w:rPr>
          <w:b/>
          <w:bCs/>
          <w:color w:val="000000"/>
        </w:rPr>
        <w:t>ESG-2015 Standards</w:t>
      </w:r>
    </w:p>
    <w:p w:rsidR="00D70EF6" w:rsidRDefault="00D70EF6">
      <w:pPr>
        <w:spacing w:after="0" w:line="240" w:lineRule="auto"/>
        <w:jc w:val="both"/>
        <w:rPr>
          <w:sz w:val="22"/>
          <w:szCs w:val="22"/>
        </w:rPr>
      </w:pPr>
    </w:p>
    <w:p w:rsidR="00D70EF6" w:rsidRDefault="002B04E2">
      <w:pPr>
        <w:spacing w:after="0" w:line="240" w:lineRule="auto"/>
        <w:jc w:val="both"/>
        <w:rPr>
          <w:sz w:val="22"/>
          <w:szCs w:val="22"/>
        </w:rPr>
      </w:pPr>
      <w:r>
        <w:rPr>
          <w:sz w:val="22"/>
          <w:szCs w:val="22"/>
        </w:rPr>
        <w:t>2.1.1 Standard 1</w:t>
      </w:r>
    </w:p>
    <w:p w:rsidR="00D70EF6" w:rsidRDefault="002B04E2">
      <w:pPr>
        <w:spacing w:before="120" w:after="120" w:line="240" w:lineRule="auto"/>
        <w:rPr>
          <w:b/>
          <w:bCs/>
          <w:smallCaps/>
          <w:color w:val="C62324"/>
          <w:sz w:val="24"/>
          <w:szCs w:val="24"/>
        </w:rPr>
      </w:pPr>
      <w:r>
        <w:rPr>
          <w:b/>
          <w:bCs/>
          <w:smallCaps/>
          <w:color w:val="C62324"/>
          <w:sz w:val="24"/>
          <w:szCs w:val="24"/>
        </w:rPr>
        <w:t>Policy for quality assurance</w:t>
      </w:r>
    </w:p>
    <w:tbl>
      <w:tblPr>
        <w:tblStyle w:val="afa"/>
        <w:tblW w:w="10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D70EF6">
        <w:tc>
          <w:tcPr>
            <w:tcW w:w="10885" w:type="dxa"/>
            <w:shd w:val="clear" w:color="auto" w:fill="D9D9D9"/>
          </w:tcPr>
          <w:p w:rsidR="00D70EF6" w:rsidRDefault="002B04E2">
            <w:pPr>
              <w:jc w:val="both"/>
              <w:rPr>
                <w:sz w:val="22"/>
                <w:szCs w:val="22"/>
              </w:rPr>
            </w:pPr>
            <w:r>
              <w:rPr>
                <w:sz w:val="22"/>
                <w:szCs w:val="22"/>
              </w:rPr>
              <w:t>Achievement and Progress</w:t>
            </w:r>
          </w:p>
        </w:tc>
      </w:tr>
      <w:tr w:rsidR="00D70EF6">
        <w:trPr>
          <w:trHeight w:val="1781"/>
        </w:trPr>
        <w:tc>
          <w:tcPr>
            <w:tcW w:w="10885" w:type="dxa"/>
          </w:tcPr>
          <w:p w:rsidR="00D70EF6" w:rsidRDefault="00D70EF6">
            <w:pPr>
              <w:jc w:val="both"/>
              <w:rPr>
                <w:sz w:val="22"/>
                <w:szCs w:val="22"/>
              </w:rPr>
            </w:pPr>
          </w:p>
          <w:p w:rsidR="00D70EF6" w:rsidRDefault="002B04E2">
            <w:pPr>
              <w:spacing w:line="276" w:lineRule="auto"/>
              <w:jc w:val="both"/>
              <w:rPr>
                <w:rFonts w:ascii="Calibri" w:eastAsia="Calibri" w:hAnsi="Calibri" w:cs="Calibri"/>
                <w:b/>
                <w:bCs/>
                <w:sz w:val="24"/>
                <w:szCs w:val="24"/>
              </w:rPr>
            </w:pPr>
            <w:r>
              <w:rPr>
                <w:rFonts w:ascii="Calibri" w:eastAsia="Calibri" w:hAnsi="Calibri" w:cs="Calibri"/>
                <w:b/>
                <w:bCs/>
                <w:sz w:val="24"/>
                <w:szCs w:val="24"/>
              </w:rPr>
              <w:t>Introduction</w:t>
            </w:r>
          </w:p>
          <w:p w:rsidR="00D70EF6" w:rsidRDefault="002B04E2">
            <w:pPr>
              <w:spacing w:line="276" w:lineRule="auto"/>
              <w:jc w:val="both"/>
              <w:rPr>
                <w:rFonts w:ascii="Calibri" w:eastAsia="Calibri" w:hAnsi="Calibri" w:cs="Calibri"/>
                <w:sz w:val="24"/>
                <w:szCs w:val="24"/>
              </w:rPr>
            </w:pPr>
            <w:r>
              <w:rPr>
                <w:rFonts w:ascii="Calibri" w:eastAsia="Calibri" w:hAnsi="Calibri" w:cs="Calibri"/>
                <w:sz w:val="24"/>
                <w:szCs w:val="24"/>
              </w:rPr>
              <w:t>The Bologna Process places quality assurance at the core of higher education reform, aiming to ensure and enhance the quality of education, learning, and scientific research, with a strong emphasis on continuous improvement and the protection of the public</w:t>
            </w:r>
            <w:r>
              <w:rPr>
                <w:rFonts w:ascii="Calibri" w:eastAsia="Calibri" w:hAnsi="Calibri" w:cs="Calibri"/>
                <w:sz w:val="24"/>
                <w:szCs w:val="24"/>
              </w:rPr>
              <w:t xml:space="preserve"> interest.</w:t>
            </w:r>
          </w:p>
          <w:p w:rsidR="00D70EF6" w:rsidRDefault="002B04E2">
            <w:pPr>
              <w:spacing w:line="276" w:lineRule="auto"/>
              <w:jc w:val="both"/>
              <w:rPr>
                <w:rFonts w:ascii="Calibri" w:eastAsia="Calibri" w:hAnsi="Calibri" w:cs="Calibri"/>
                <w:sz w:val="24"/>
                <w:szCs w:val="24"/>
              </w:rPr>
            </w:pPr>
            <w:r>
              <w:rPr>
                <w:rFonts w:ascii="Calibri" w:eastAsia="Calibri" w:hAnsi="Calibri" w:cs="Calibri"/>
                <w:b/>
                <w:bCs/>
                <w:sz w:val="24"/>
                <w:szCs w:val="24"/>
              </w:rPr>
              <w:t>General Framework for Quality Assurance in the Bologna Process</w:t>
            </w:r>
          </w:p>
          <w:p w:rsidR="00D70EF6" w:rsidRDefault="002B04E2">
            <w:pPr>
              <w:spacing w:line="276" w:lineRule="auto"/>
              <w:jc w:val="both"/>
              <w:rPr>
                <w:rFonts w:ascii="Calibri" w:eastAsia="Calibri" w:hAnsi="Calibri" w:cs="Calibri"/>
                <w:sz w:val="24"/>
                <w:szCs w:val="24"/>
              </w:rPr>
            </w:pPr>
            <w:r>
              <w:rPr>
                <w:rFonts w:ascii="Calibri" w:eastAsia="Calibri" w:hAnsi="Calibri" w:cs="Calibri"/>
                <w:sz w:val="24"/>
                <w:szCs w:val="24"/>
              </w:rPr>
              <w:lastRenderedPageBreak/>
              <w:t>The university adopts the </w:t>
            </w:r>
            <w:r>
              <w:rPr>
                <w:rFonts w:ascii="Calibri" w:eastAsia="Calibri" w:hAnsi="Calibri" w:cs="Calibri"/>
                <w:b/>
                <w:bCs/>
                <w:sz w:val="24"/>
                <w:szCs w:val="24"/>
              </w:rPr>
              <w:t>Standards and Guidelines for Quality Assurance in the European Higher Education Area (ESG 2015)</w:t>
            </w:r>
            <w:r>
              <w:rPr>
                <w:rFonts w:ascii="Calibri" w:eastAsia="Calibri" w:hAnsi="Calibri" w:cs="Calibri"/>
                <w:sz w:val="24"/>
                <w:szCs w:val="24"/>
              </w:rPr>
              <w:t>, which include:</w:t>
            </w:r>
          </w:p>
          <w:p w:rsidR="00D70EF6" w:rsidRDefault="002B04E2">
            <w:pPr>
              <w:numPr>
                <w:ilvl w:val="0"/>
                <w:numId w:val="11"/>
              </w:numPr>
              <w:spacing w:line="276" w:lineRule="auto"/>
              <w:jc w:val="both"/>
              <w:rPr>
                <w:rFonts w:ascii="Calibri" w:eastAsia="Calibri" w:hAnsi="Calibri" w:cs="Calibri"/>
                <w:sz w:val="24"/>
                <w:szCs w:val="24"/>
              </w:rPr>
            </w:pPr>
            <w:r>
              <w:rPr>
                <w:rFonts w:ascii="Calibri" w:eastAsia="Calibri" w:hAnsi="Calibri" w:cs="Calibri"/>
                <w:b/>
                <w:bCs/>
                <w:sz w:val="24"/>
                <w:szCs w:val="24"/>
              </w:rPr>
              <w:t>Internal Quality Assurance</w:t>
            </w:r>
            <w:r>
              <w:rPr>
                <w:rFonts w:ascii="Calibri" w:eastAsia="Calibri" w:hAnsi="Calibri" w:cs="Calibri"/>
                <w:sz w:val="24"/>
                <w:szCs w:val="24"/>
              </w:rPr>
              <w:br/>
              <w:t>(A core responsib</w:t>
            </w:r>
            <w:r>
              <w:rPr>
                <w:rFonts w:ascii="Calibri" w:eastAsia="Calibri" w:hAnsi="Calibri" w:cs="Calibri"/>
                <w:sz w:val="24"/>
                <w:szCs w:val="24"/>
              </w:rPr>
              <w:t>ility of the Quality Assurance and University Performance Department)</w:t>
            </w:r>
          </w:p>
          <w:p w:rsidR="00D70EF6" w:rsidRDefault="002B04E2">
            <w:pPr>
              <w:numPr>
                <w:ilvl w:val="0"/>
                <w:numId w:val="11"/>
              </w:numPr>
              <w:spacing w:line="276" w:lineRule="auto"/>
              <w:jc w:val="both"/>
              <w:rPr>
                <w:rFonts w:ascii="Calibri" w:eastAsia="Calibri" w:hAnsi="Calibri" w:cs="Calibri"/>
                <w:sz w:val="24"/>
                <w:szCs w:val="24"/>
              </w:rPr>
            </w:pPr>
            <w:r>
              <w:rPr>
                <w:rFonts w:ascii="Calibri" w:eastAsia="Calibri" w:hAnsi="Calibri" w:cs="Calibri"/>
                <w:b/>
                <w:bCs/>
                <w:sz w:val="24"/>
                <w:szCs w:val="24"/>
              </w:rPr>
              <w:t>External Quality Assurance</w:t>
            </w:r>
            <w:r>
              <w:rPr>
                <w:rFonts w:ascii="Calibri" w:eastAsia="Calibri" w:hAnsi="Calibri" w:cs="Calibri"/>
                <w:sz w:val="24"/>
                <w:szCs w:val="24"/>
              </w:rPr>
              <w:br/>
              <w:t>(Conducted by independent reviewers outside the university)</w:t>
            </w:r>
          </w:p>
          <w:p w:rsidR="00D70EF6" w:rsidRDefault="002B04E2">
            <w:pPr>
              <w:numPr>
                <w:ilvl w:val="0"/>
                <w:numId w:val="11"/>
              </w:numPr>
              <w:spacing w:line="276" w:lineRule="auto"/>
              <w:jc w:val="both"/>
              <w:rPr>
                <w:rFonts w:ascii="Calibri" w:eastAsia="Calibri" w:hAnsi="Calibri" w:cs="Calibri"/>
                <w:sz w:val="24"/>
                <w:szCs w:val="24"/>
              </w:rPr>
            </w:pPr>
            <w:r>
              <w:rPr>
                <w:rFonts w:ascii="Calibri" w:eastAsia="Calibri" w:hAnsi="Calibri" w:cs="Calibri"/>
                <w:b/>
                <w:bCs/>
                <w:sz w:val="24"/>
                <w:szCs w:val="24"/>
              </w:rPr>
              <w:t>Quality Assurance Agency Evaluation</w:t>
            </w:r>
            <w:r>
              <w:rPr>
                <w:rFonts w:ascii="Calibri" w:eastAsia="Calibri" w:hAnsi="Calibri" w:cs="Calibri"/>
                <w:sz w:val="24"/>
                <w:szCs w:val="24"/>
              </w:rPr>
              <w:br/>
              <w:t>(Performed by global and independent quality assurance agencies</w:t>
            </w:r>
            <w:r>
              <w:rPr>
                <w:rFonts w:ascii="Calibri" w:eastAsia="Calibri" w:hAnsi="Calibri" w:cs="Calibri"/>
                <w:sz w:val="24"/>
                <w:szCs w:val="24"/>
              </w:rPr>
              <w:t>)</w:t>
            </w:r>
          </w:p>
          <w:p w:rsidR="00D70EF6" w:rsidRDefault="002B04E2">
            <w:pPr>
              <w:spacing w:line="276" w:lineRule="auto"/>
              <w:jc w:val="both"/>
              <w:rPr>
                <w:rFonts w:ascii="Calibri" w:eastAsia="Calibri" w:hAnsi="Calibri" w:cs="Calibri"/>
                <w:sz w:val="24"/>
                <w:szCs w:val="24"/>
              </w:rPr>
            </w:pPr>
            <w:r>
              <w:rPr>
                <w:rFonts w:ascii="Calibri" w:eastAsia="Calibri" w:hAnsi="Calibri" w:cs="Calibri"/>
                <w:b/>
                <w:bCs/>
                <w:sz w:val="24"/>
                <w:szCs w:val="24"/>
              </w:rPr>
              <w:t>Mechanisms of Internal Quality Assurance</w:t>
            </w:r>
          </w:p>
          <w:p w:rsidR="00D70EF6" w:rsidRDefault="002B04E2">
            <w:pPr>
              <w:numPr>
                <w:ilvl w:val="0"/>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Policies and Procedures:</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sz w:val="24"/>
                <w:szCs w:val="24"/>
              </w:rPr>
              <w:t>Clear procedures for program design, implementation, and evaluation.</w:t>
            </w:r>
          </w:p>
          <w:p w:rsidR="00D70EF6" w:rsidRDefault="002B04E2">
            <w:pPr>
              <w:numPr>
                <w:ilvl w:val="0"/>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Program Design and Accreditation:</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sz w:val="24"/>
                <w:szCs w:val="24"/>
              </w:rPr>
              <w:t>Involvement of stakeholders and beneficiaries in designing and developing academic pr</w:t>
            </w:r>
            <w:r>
              <w:rPr>
                <w:rFonts w:ascii="Calibri" w:eastAsia="Calibri" w:hAnsi="Calibri" w:cs="Calibri"/>
                <w:sz w:val="24"/>
                <w:szCs w:val="24"/>
              </w:rPr>
              <w:t>ograms, in addition to expert academic committees.</w:t>
            </w:r>
          </w:p>
          <w:p w:rsidR="00D70EF6" w:rsidRDefault="002B04E2">
            <w:pPr>
              <w:numPr>
                <w:ilvl w:val="0"/>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Teaching and Learning:</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sz w:val="24"/>
                <w:szCs w:val="24"/>
              </w:rPr>
              <w:t>Curriculum aligned with intended learning outcomes within each academic program.</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sz w:val="24"/>
                <w:szCs w:val="24"/>
              </w:rPr>
              <w:t>Transparent evaluation strategies for both instructors and students.</w:t>
            </w:r>
          </w:p>
          <w:p w:rsidR="00D70EF6" w:rsidRDefault="002B04E2">
            <w:pPr>
              <w:numPr>
                <w:ilvl w:val="0"/>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Regular Monitoring and Evaluatio</w:t>
            </w:r>
            <w:r>
              <w:rPr>
                <w:rFonts w:ascii="Calibri" w:eastAsia="Calibri" w:hAnsi="Calibri" w:cs="Calibri"/>
                <w:b/>
                <w:bCs/>
                <w:sz w:val="24"/>
                <w:szCs w:val="24"/>
              </w:rPr>
              <w:t>n:</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sz w:val="24"/>
                <w:szCs w:val="24"/>
              </w:rPr>
              <w:t>Annual data-driven monitoring (admissions, progression, graduation, employment).</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sz w:val="24"/>
                <w:szCs w:val="24"/>
              </w:rPr>
              <w:t>Annual self-assessment and review processes.</w:t>
            </w:r>
          </w:p>
          <w:p w:rsidR="00D70EF6" w:rsidRDefault="002B04E2">
            <w:pPr>
              <w:numPr>
                <w:ilvl w:val="0"/>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Stakeholder Engagement:</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sz w:val="24"/>
                <w:szCs w:val="24"/>
              </w:rPr>
              <w:t>Student surveys (conducted at the end of each semester), and employer feedback.</w:t>
            </w:r>
          </w:p>
          <w:p w:rsidR="00D70EF6" w:rsidRDefault="002B04E2">
            <w:pPr>
              <w:numPr>
                <w:ilvl w:val="0"/>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 xml:space="preserve">Continuous Improvement </w:t>
            </w:r>
            <w:r>
              <w:rPr>
                <w:rFonts w:ascii="Calibri" w:eastAsia="Calibri" w:hAnsi="Calibri" w:cs="Calibri"/>
                <w:b/>
                <w:bCs/>
                <w:sz w:val="24"/>
                <w:szCs w:val="24"/>
              </w:rPr>
              <w:t>and Transparency:</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Annual Quality Assurance Report:</w:t>
            </w:r>
            <w:r>
              <w:rPr>
                <w:rFonts w:ascii="Calibri" w:eastAsia="Calibri" w:hAnsi="Calibri" w:cs="Calibri"/>
                <w:sz w:val="24"/>
                <w:szCs w:val="24"/>
              </w:rPr>
              <w:t> Published by the Quality Assurance Department, summarizing monitoring data and review outcomes.</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Key Performance Indicators (KPIs):</w:t>
            </w:r>
            <w:r>
              <w:rPr>
                <w:rFonts w:ascii="Calibri" w:eastAsia="Calibri" w:hAnsi="Calibri" w:cs="Calibri"/>
                <w:sz w:val="24"/>
                <w:szCs w:val="24"/>
              </w:rPr>
              <w:t> Including retention/graduation rates, student satisfaction, research outputs, and graduate employment.</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Transparency:</w:t>
            </w:r>
            <w:r>
              <w:rPr>
                <w:rFonts w:ascii="Calibri" w:eastAsia="Calibri" w:hAnsi="Calibri" w:cs="Calibri"/>
                <w:sz w:val="24"/>
                <w:szCs w:val="24"/>
              </w:rPr>
              <w:t> The quality assurance policy, self-assessment reports, and external review results are published on the university website.</w:t>
            </w:r>
          </w:p>
          <w:p w:rsidR="00D70EF6" w:rsidRDefault="002B04E2">
            <w:pPr>
              <w:numPr>
                <w:ilvl w:val="0"/>
                <w:numId w:val="13"/>
              </w:numPr>
              <w:spacing w:line="276" w:lineRule="auto"/>
              <w:jc w:val="both"/>
              <w:rPr>
                <w:rFonts w:ascii="Calibri" w:eastAsia="Calibri" w:hAnsi="Calibri" w:cs="Calibri"/>
                <w:sz w:val="24"/>
                <w:szCs w:val="24"/>
              </w:rPr>
            </w:pPr>
            <w:r>
              <w:rPr>
                <w:rFonts w:ascii="Calibri" w:eastAsia="Calibri" w:hAnsi="Calibri" w:cs="Calibri"/>
                <w:b/>
                <w:bCs/>
                <w:sz w:val="24"/>
                <w:szCs w:val="24"/>
              </w:rPr>
              <w:t xml:space="preserve">Review of the </w:t>
            </w:r>
            <w:r>
              <w:rPr>
                <w:rFonts w:ascii="Calibri" w:eastAsia="Calibri" w:hAnsi="Calibri" w:cs="Calibri"/>
                <w:b/>
                <w:bCs/>
                <w:sz w:val="24"/>
                <w:szCs w:val="24"/>
              </w:rPr>
              <w:t>Bologna Process Quality Assurance Policy:</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sz w:val="24"/>
                <w:szCs w:val="24"/>
              </w:rPr>
              <w:t>This policy is reviewed and updated every two years by the Quality Assurance Department.</w:t>
            </w:r>
          </w:p>
          <w:p w:rsidR="00D70EF6" w:rsidRDefault="002B04E2">
            <w:pPr>
              <w:numPr>
                <w:ilvl w:val="1"/>
                <w:numId w:val="13"/>
              </w:numPr>
              <w:spacing w:line="276" w:lineRule="auto"/>
              <w:jc w:val="both"/>
              <w:rPr>
                <w:rFonts w:ascii="Calibri" w:eastAsia="Calibri" w:hAnsi="Calibri" w:cs="Calibri"/>
                <w:sz w:val="24"/>
                <w:szCs w:val="24"/>
              </w:rPr>
            </w:pPr>
            <w:r>
              <w:rPr>
                <w:rFonts w:ascii="Calibri" w:eastAsia="Calibri" w:hAnsi="Calibri" w:cs="Calibri"/>
                <w:sz w:val="24"/>
                <w:szCs w:val="24"/>
              </w:rPr>
              <w:t>Any amendments require approval from the University Council to ensure ongoing alignment with developments in the Bologna Proc</w:t>
            </w:r>
            <w:r>
              <w:rPr>
                <w:rFonts w:ascii="Calibri" w:eastAsia="Calibri" w:hAnsi="Calibri" w:cs="Calibri"/>
                <w:sz w:val="24"/>
                <w:szCs w:val="24"/>
              </w:rPr>
              <w:t>ess and ESG standards.</w:t>
            </w:r>
          </w:p>
          <w:p w:rsidR="00D70EF6" w:rsidRDefault="002B04E2">
            <w:pPr>
              <w:spacing w:line="276" w:lineRule="auto"/>
              <w:jc w:val="both"/>
              <w:rPr>
                <w:rFonts w:ascii="Calibri" w:eastAsia="Calibri" w:hAnsi="Calibri" w:cs="Calibri"/>
                <w:b/>
                <w:bCs/>
                <w:sz w:val="32"/>
                <w:szCs w:val="32"/>
              </w:rPr>
            </w:pPr>
            <w:r>
              <w:rPr>
                <w:rFonts w:ascii="Calibri" w:eastAsia="Calibri" w:hAnsi="Calibri" w:cs="Calibri"/>
                <w:b/>
                <w:bCs/>
                <w:sz w:val="32"/>
                <w:szCs w:val="32"/>
              </w:rPr>
              <w:t>Reference:</w:t>
            </w:r>
          </w:p>
          <w:p w:rsidR="00D70EF6" w:rsidRDefault="002B04E2">
            <w:pPr>
              <w:spacing w:line="276" w:lineRule="auto"/>
              <w:jc w:val="both"/>
              <w:rPr>
                <w:rFonts w:ascii="Calibri" w:eastAsia="Calibri" w:hAnsi="Calibri" w:cs="Calibri"/>
                <w:sz w:val="24"/>
                <w:szCs w:val="24"/>
              </w:rPr>
            </w:pPr>
            <w:hyperlink r:id="rId11">
              <w:r>
                <w:rPr>
                  <w:rFonts w:ascii="Calibri" w:eastAsia="Calibri" w:hAnsi="Calibri" w:cs="Calibri"/>
                  <w:color w:val="0D2E46"/>
                  <w:sz w:val="24"/>
                  <w:szCs w:val="24"/>
                  <w:u w:val="single"/>
                </w:rPr>
                <w:t>https://www.uofallujah.edu.iq/en/quality-assurance-bologna</w:t>
              </w:r>
            </w:hyperlink>
            <w:r>
              <w:rPr>
                <w:rFonts w:ascii="Calibri" w:eastAsia="Calibri" w:hAnsi="Calibri" w:cs="Calibri"/>
                <w:sz w:val="24"/>
                <w:szCs w:val="24"/>
              </w:rPr>
              <w:t xml:space="preserve"> </w:t>
            </w:r>
          </w:p>
          <w:p w:rsidR="00D70EF6" w:rsidRDefault="00D70EF6">
            <w:pPr>
              <w:jc w:val="both"/>
              <w:rPr>
                <w:sz w:val="22"/>
                <w:szCs w:val="22"/>
              </w:rPr>
            </w:pPr>
          </w:p>
        </w:tc>
      </w:tr>
    </w:tbl>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2B04E2">
      <w:pPr>
        <w:spacing w:after="0" w:line="240" w:lineRule="auto"/>
        <w:jc w:val="both"/>
        <w:rPr>
          <w:sz w:val="22"/>
          <w:szCs w:val="22"/>
        </w:rPr>
      </w:pPr>
      <w:r>
        <w:rPr>
          <w:sz w:val="22"/>
          <w:szCs w:val="22"/>
        </w:rPr>
        <w:t>2.1.2  Standard 2</w:t>
      </w:r>
    </w:p>
    <w:p w:rsidR="00D70EF6" w:rsidRDefault="002B04E2">
      <w:pPr>
        <w:spacing w:before="120" w:after="120" w:line="240" w:lineRule="auto"/>
        <w:rPr>
          <w:b/>
          <w:bCs/>
          <w:smallCaps/>
          <w:color w:val="C62324"/>
          <w:sz w:val="24"/>
          <w:szCs w:val="24"/>
        </w:rPr>
      </w:pPr>
      <w:r>
        <w:rPr>
          <w:b/>
          <w:bCs/>
          <w:smallCaps/>
          <w:color w:val="C62324"/>
          <w:sz w:val="24"/>
          <w:szCs w:val="24"/>
        </w:rPr>
        <w:t>Design and approval of programmes</w:t>
      </w:r>
    </w:p>
    <w:tbl>
      <w:tblPr>
        <w:tblStyle w:val="afb"/>
        <w:tblW w:w="10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D70EF6">
        <w:tc>
          <w:tcPr>
            <w:tcW w:w="10885" w:type="dxa"/>
            <w:shd w:val="clear" w:color="auto" w:fill="D9D9D9"/>
          </w:tcPr>
          <w:p w:rsidR="00D70EF6" w:rsidRDefault="002B04E2">
            <w:pPr>
              <w:jc w:val="both"/>
              <w:rPr>
                <w:sz w:val="22"/>
                <w:szCs w:val="22"/>
              </w:rPr>
            </w:pPr>
            <w:r>
              <w:rPr>
                <w:sz w:val="22"/>
                <w:szCs w:val="22"/>
              </w:rPr>
              <w:t>Achievement and Progress</w:t>
            </w:r>
          </w:p>
        </w:tc>
      </w:tr>
      <w:tr w:rsidR="00D70EF6">
        <w:trPr>
          <w:trHeight w:val="1214"/>
        </w:trPr>
        <w:tc>
          <w:tcPr>
            <w:tcW w:w="10885" w:type="dxa"/>
          </w:tcPr>
          <w:p w:rsidR="00D70EF6" w:rsidRDefault="00D70EF6">
            <w:pPr>
              <w:jc w:val="both"/>
              <w:rPr>
                <w:sz w:val="22"/>
                <w:szCs w:val="22"/>
              </w:rPr>
            </w:pPr>
          </w:p>
          <w:p w:rsidR="00D70EF6" w:rsidRDefault="002B04E2">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The programmes are designed in alignment with the University’s strategy, objectives, and learning outcomes.</w:t>
            </w:r>
            <w:r>
              <w:rPr>
                <w:rFonts w:ascii="Times New Roman" w:eastAsia="Times New Roman" w:hAnsi="Times New Roman" w:cs="Times New Roman"/>
                <w:sz w:val="22"/>
                <w:szCs w:val="22"/>
              </w:rPr>
              <w:br/>
              <w:t>• Stakeholders (faculty, students, external beneficiaries) participate in curriculum design and review.</w:t>
            </w:r>
            <w:r>
              <w:rPr>
                <w:rFonts w:ascii="Times New Roman" w:eastAsia="Times New Roman" w:hAnsi="Times New Roman" w:cs="Times New Roman"/>
                <w:sz w:val="22"/>
                <w:szCs w:val="22"/>
              </w:rPr>
              <w:br/>
              <w:t>• The programmes fulfil the four higher ed</w:t>
            </w:r>
            <w:r>
              <w:rPr>
                <w:rFonts w:ascii="Times New Roman" w:eastAsia="Times New Roman" w:hAnsi="Times New Roman" w:cs="Times New Roman"/>
                <w:sz w:val="22"/>
                <w:szCs w:val="22"/>
              </w:rPr>
              <w:t>ucation objectives: knowledge dissemination, employability, personal development, and active citizenship.</w:t>
            </w:r>
            <w:r>
              <w:rPr>
                <w:rFonts w:ascii="Times New Roman" w:eastAsia="Times New Roman" w:hAnsi="Times New Roman" w:cs="Times New Roman"/>
                <w:sz w:val="22"/>
                <w:szCs w:val="22"/>
              </w:rPr>
              <w:br/>
              <w:t>• A student workload has been defined according to the 240 ECTS credit system over four years.</w:t>
            </w:r>
            <w:r>
              <w:rPr>
                <w:rFonts w:ascii="Times New Roman" w:eastAsia="Times New Roman" w:hAnsi="Times New Roman" w:cs="Times New Roman"/>
                <w:sz w:val="22"/>
                <w:szCs w:val="22"/>
              </w:rPr>
              <w:br/>
              <w:t>• Programmes are officially accredited through departme</w:t>
            </w:r>
            <w:r>
              <w:rPr>
                <w:rFonts w:ascii="Times New Roman" w:eastAsia="Times New Roman" w:hAnsi="Times New Roman" w:cs="Times New Roman"/>
                <w:sz w:val="22"/>
                <w:szCs w:val="22"/>
              </w:rPr>
              <w:t>nt councils and quality assurance units.</w:t>
            </w:r>
            <w:r>
              <w:rPr>
                <w:rFonts w:ascii="Times New Roman" w:eastAsia="Times New Roman" w:hAnsi="Times New Roman" w:cs="Times New Roman"/>
                <w:sz w:val="22"/>
                <w:szCs w:val="22"/>
              </w:rPr>
              <w:br/>
              <w:t>• The Faculty includes an Industrial Advisory Board dedicated to aligning the learning outcomes and objectives with the demands of the work environment.</w:t>
            </w:r>
          </w:p>
          <w:p w:rsidR="00D70EF6" w:rsidRDefault="002B04E2">
            <w:pPr>
              <w:rPr>
                <w:rFonts w:ascii="Times New Roman" w:eastAsia="Times New Roman" w:hAnsi="Times New Roman" w:cs="Times New Roman"/>
                <w:b/>
                <w:bCs/>
                <w:sz w:val="28"/>
                <w:szCs w:val="28"/>
              </w:rPr>
            </w:pP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28"/>
                <w:szCs w:val="28"/>
              </w:rPr>
              <w:t>Veterinary Medicine and Surgery:</w:t>
            </w:r>
          </w:p>
          <w:p w:rsidR="00D70EF6" w:rsidRDefault="002B04E2">
            <w:pPr>
              <w:numPr>
                <w:ilvl w:val="0"/>
                <w:numId w:val="15"/>
              </w:numPr>
              <w:pBdr>
                <w:top w:val="nil"/>
                <w:left w:val="nil"/>
                <w:bottom w:val="nil"/>
                <w:right w:val="nil"/>
                <w:between w:val="nil"/>
              </w:pBdr>
              <w:spacing w:after="200" w:line="288" w:lineRule="auto"/>
              <w:rPr>
                <w:rFonts w:ascii="Times New Roman" w:eastAsia="Times New Roman" w:hAnsi="Times New Roman" w:cs="Times New Roman"/>
                <w:b/>
                <w:bCs/>
                <w:color w:val="000000"/>
                <w:sz w:val="28"/>
                <w:szCs w:val="28"/>
              </w:rPr>
            </w:pPr>
            <w:hyperlink r:id="rId12">
              <w:r>
                <w:rPr>
                  <w:rFonts w:ascii="Times New Roman" w:eastAsia="Times New Roman" w:hAnsi="Times New Roman" w:cs="Times New Roman"/>
                  <w:b/>
                  <w:bCs/>
                  <w:color w:val="0D2E46"/>
                  <w:sz w:val="28"/>
                  <w:szCs w:val="28"/>
                  <w:u w:val="single"/>
                </w:rPr>
                <w:t>https://covet.uofallujah.edu.iq/sites/default/files/2025-09/Program%20Catalogue.pdf</w:t>
              </w:r>
            </w:hyperlink>
            <w:r>
              <w:rPr>
                <w:rFonts w:ascii="Times New Roman" w:eastAsia="Times New Roman" w:hAnsi="Times New Roman" w:cs="Times New Roman"/>
                <w:b/>
                <w:bCs/>
                <w:color w:val="000000"/>
                <w:sz w:val="28"/>
                <w:szCs w:val="28"/>
              </w:rPr>
              <w:t xml:space="preserve"> </w:t>
            </w:r>
          </w:p>
          <w:p w:rsidR="00D70EF6" w:rsidRDefault="00D70EF6">
            <w:pPr>
              <w:rPr>
                <w:rFonts w:ascii="Times New Roman" w:eastAsia="Times New Roman" w:hAnsi="Times New Roman" w:cs="Times New Roman"/>
                <w:b/>
                <w:bCs/>
                <w:sz w:val="32"/>
                <w:szCs w:val="32"/>
              </w:rPr>
            </w:pPr>
          </w:p>
          <w:p w:rsidR="00D70EF6" w:rsidRDefault="002B04E2">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College of Administration and Economics:</w:t>
            </w:r>
          </w:p>
          <w:p w:rsidR="00D70EF6" w:rsidRDefault="002B04E2">
            <w:pPr>
              <w:numPr>
                <w:ilvl w:val="0"/>
                <w:numId w:val="14"/>
              </w:numPr>
              <w:pBdr>
                <w:top w:val="nil"/>
                <w:left w:val="nil"/>
                <w:bottom w:val="nil"/>
                <w:right w:val="nil"/>
                <w:between w:val="nil"/>
              </w:pBdr>
              <w:spacing w:line="288" w:lineRule="auto"/>
              <w:rPr>
                <w:rFonts w:ascii="Times New Roman" w:eastAsia="Times New Roman" w:hAnsi="Times New Roman" w:cs="Times New Roman"/>
                <w:b/>
                <w:bCs/>
                <w:color w:val="000000"/>
                <w:sz w:val="28"/>
                <w:szCs w:val="28"/>
              </w:rPr>
            </w:pPr>
            <w:hyperlink r:id="rId13">
              <w:r>
                <w:rPr>
                  <w:rFonts w:ascii="Times New Roman" w:eastAsia="Times New Roman" w:hAnsi="Times New Roman" w:cs="Times New Roman"/>
                  <w:b/>
                  <w:bCs/>
                  <w:color w:val="0D2E46"/>
                  <w:sz w:val="28"/>
                  <w:szCs w:val="28"/>
                  <w:u w:val="single"/>
                </w:rPr>
                <w:t>https://coadec.uofallujah.edu.iq/en/academic-program-economy</w:t>
              </w:r>
            </w:hyperlink>
            <w:r>
              <w:rPr>
                <w:rFonts w:ascii="Times New Roman" w:eastAsia="Times New Roman" w:hAnsi="Times New Roman" w:cs="Times New Roman"/>
                <w:b/>
                <w:bCs/>
                <w:color w:val="000000"/>
                <w:sz w:val="28"/>
                <w:szCs w:val="28"/>
              </w:rPr>
              <w:t xml:space="preserve"> </w:t>
            </w:r>
          </w:p>
          <w:p w:rsidR="00D70EF6" w:rsidRDefault="002B04E2">
            <w:pPr>
              <w:numPr>
                <w:ilvl w:val="0"/>
                <w:numId w:val="14"/>
              </w:numPr>
              <w:pBdr>
                <w:top w:val="nil"/>
                <w:left w:val="nil"/>
                <w:bottom w:val="nil"/>
                <w:right w:val="nil"/>
                <w:between w:val="nil"/>
              </w:pBdr>
              <w:spacing w:line="288" w:lineRule="auto"/>
              <w:rPr>
                <w:rFonts w:ascii="Times New Roman" w:eastAsia="Times New Roman" w:hAnsi="Times New Roman" w:cs="Times New Roman"/>
                <w:b/>
                <w:bCs/>
                <w:color w:val="000000"/>
                <w:sz w:val="28"/>
                <w:szCs w:val="28"/>
              </w:rPr>
            </w:pPr>
            <w:hyperlink r:id="rId14">
              <w:r>
                <w:rPr>
                  <w:rFonts w:ascii="Times New Roman" w:eastAsia="Times New Roman" w:hAnsi="Times New Roman" w:cs="Times New Roman"/>
                  <w:b/>
                  <w:bCs/>
                  <w:color w:val="0D2E46"/>
                  <w:sz w:val="28"/>
                  <w:szCs w:val="28"/>
                  <w:u w:val="single"/>
                </w:rPr>
                <w:t>https://coadec.uofallujah.edu.iq/en/aca</w:t>
              </w:r>
              <w:r>
                <w:rPr>
                  <w:rFonts w:ascii="Times New Roman" w:eastAsia="Times New Roman" w:hAnsi="Times New Roman" w:cs="Times New Roman"/>
                  <w:b/>
                  <w:bCs/>
                  <w:color w:val="0D2E46"/>
                  <w:sz w:val="28"/>
                  <w:szCs w:val="28"/>
                  <w:u w:val="single"/>
                </w:rPr>
                <w:t>demic-program-financial-and-banking-sciences</w:t>
              </w:r>
            </w:hyperlink>
          </w:p>
          <w:p w:rsidR="00D70EF6" w:rsidRDefault="002B04E2">
            <w:pPr>
              <w:numPr>
                <w:ilvl w:val="0"/>
                <w:numId w:val="14"/>
              </w:numPr>
              <w:pBdr>
                <w:top w:val="nil"/>
                <w:left w:val="nil"/>
                <w:bottom w:val="nil"/>
                <w:right w:val="nil"/>
                <w:between w:val="nil"/>
              </w:pBdr>
              <w:spacing w:line="288" w:lineRule="auto"/>
              <w:rPr>
                <w:rFonts w:ascii="Times New Roman" w:eastAsia="Times New Roman" w:hAnsi="Times New Roman" w:cs="Times New Roman"/>
                <w:b/>
                <w:bCs/>
                <w:color w:val="000000"/>
                <w:sz w:val="28"/>
                <w:szCs w:val="28"/>
              </w:rPr>
            </w:pPr>
            <w:hyperlink r:id="rId15">
              <w:r>
                <w:rPr>
                  <w:rFonts w:ascii="Times New Roman" w:eastAsia="Times New Roman" w:hAnsi="Times New Roman" w:cs="Times New Roman"/>
                  <w:b/>
                  <w:bCs/>
                  <w:color w:val="0D2E46"/>
                  <w:sz w:val="28"/>
                  <w:szCs w:val="28"/>
                  <w:u w:val="single"/>
                </w:rPr>
                <w:t>https://coadec.uofallujah.edu.iq/en/academic-program-department-business-administration</w:t>
              </w:r>
            </w:hyperlink>
            <w:r>
              <w:rPr>
                <w:rFonts w:ascii="Times New Roman" w:eastAsia="Times New Roman" w:hAnsi="Times New Roman" w:cs="Times New Roman"/>
                <w:b/>
                <w:bCs/>
                <w:color w:val="000000"/>
                <w:sz w:val="28"/>
                <w:szCs w:val="28"/>
              </w:rPr>
              <w:t xml:space="preserve"> </w:t>
            </w:r>
          </w:p>
          <w:p w:rsidR="00D70EF6" w:rsidRDefault="002B04E2">
            <w:pPr>
              <w:numPr>
                <w:ilvl w:val="0"/>
                <w:numId w:val="14"/>
              </w:numPr>
              <w:pBdr>
                <w:top w:val="nil"/>
                <w:left w:val="nil"/>
                <w:bottom w:val="nil"/>
                <w:right w:val="nil"/>
                <w:between w:val="nil"/>
              </w:pBdr>
              <w:spacing w:line="288" w:lineRule="auto"/>
              <w:rPr>
                <w:rFonts w:ascii="Times New Roman" w:eastAsia="Times New Roman" w:hAnsi="Times New Roman" w:cs="Times New Roman"/>
                <w:b/>
                <w:bCs/>
                <w:color w:val="000000"/>
                <w:sz w:val="28"/>
                <w:szCs w:val="28"/>
              </w:rPr>
            </w:pPr>
            <w:hyperlink r:id="rId16">
              <w:r>
                <w:rPr>
                  <w:rFonts w:ascii="Times New Roman" w:eastAsia="Times New Roman" w:hAnsi="Times New Roman" w:cs="Times New Roman"/>
                  <w:b/>
                  <w:bCs/>
                  <w:color w:val="0D2E46"/>
                  <w:sz w:val="28"/>
                  <w:szCs w:val="28"/>
                  <w:u w:val="single"/>
                </w:rPr>
                <w:t>https://coadec.uofallujah.edu.iq/en/academic-program-public-administration</w:t>
              </w:r>
            </w:hyperlink>
            <w:r>
              <w:rPr>
                <w:rFonts w:ascii="Times New Roman" w:eastAsia="Times New Roman" w:hAnsi="Times New Roman" w:cs="Times New Roman"/>
                <w:b/>
                <w:bCs/>
                <w:color w:val="000000"/>
                <w:sz w:val="28"/>
                <w:szCs w:val="28"/>
              </w:rPr>
              <w:t xml:space="preserve"> </w:t>
            </w:r>
          </w:p>
          <w:p w:rsidR="00D70EF6" w:rsidRDefault="002B04E2">
            <w:pPr>
              <w:numPr>
                <w:ilvl w:val="0"/>
                <w:numId w:val="14"/>
              </w:numPr>
              <w:pBdr>
                <w:top w:val="nil"/>
                <w:left w:val="nil"/>
                <w:bottom w:val="nil"/>
                <w:right w:val="nil"/>
                <w:between w:val="nil"/>
              </w:pBdr>
              <w:spacing w:after="200" w:line="288" w:lineRule="auto"/>
              <w:rPr>
                <w:rFonts w:ascii="Times New Roman" w:eastAsia="Times New Roman" w:hAnsi="Times New Roman" w:cs="Times New Roman"/>
                <w:b/>
                <w:bCs/>
                <w:color w:val="000000"/>
                <w:sz w:val="28"/>
                <w:szCs w:val="28"/>
              </w:rPr>
            </w:pPr>
            <w:hyperlink r:id="rId17">
              <w:r>
                <w:rPr>
                  <w:rFonts w:ascii="Times New Roman" w:eastAsia="Times New Roman" w:hAnsi="Times New Roman" w:cs="Times New Roman"/>
                  <w:b/>
                  <w:bCs/>
                  <w:color w:val="0D2E46"/>
                  <w:sz w:val="28"/>
                  <w:szCs w:val="28"/>
                  <w:u w:val="single"/>
                </w:rPr>
                <w:t>https://coadec.uofallujah.edu.iq/en/academic-program-accounting</w:t>
              </w:r>
            </w:hyperlink>
            <w:r>
              <w:rPr>
                <w:rFonts w:ascii="Times New Roman" w:eastAsia="Times New Roman" w:hAnsi="Times New Roman" w:cs="Times New Roman"/>
                <w:b/>
                <w:bCs/>
                <w:color w:val="000000"/>
                <w:sz w:val="28"/>
                <w:szCs w:val="28"/>
              </w:rPr>
              <w:t xml:space="preserve"> </w:t>
            </w:r>
          </w:p>
          <w:p w:rsidR="00D70EF6" w:rsidRDefault="00D70EF6">
            <w:pPr>
              <w:rPr>
                <w:rFonts w:ascii="Times New Roman" w:eastAsia="Times New Roman" w:hAnsi="Times New Roman" w:cs="Times New Roman"/>
                <w:b/>
                <w:bCs/>
                <w:sz w:val="32"/>
                <w:szCs w:val="32"/>
              </w:rPr>
            </w:pPr>
          </w:p>
          <w:p w:rsidR="00D70EF6" w:rsidRDefault="002B04E2">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College of Applied Sciences:</w:t>
            </w:r>
          </w:p>
          <w:p w:rsidR="00D70EF6" w:rsidRDefault="002B04E2">
            <w:pPr>
              <w:numPr>
                <w:ilvl w:val="0"/>
                <w:numId w:val="16"/>
              </w:numPr>
              <w:pBdr>
                <w:top w:val="nil"/>
                <w:left w:val="nil"/>
                <w:bottom w:val="nil"/>
                <w:right w:val="nil"/>
                <w:between w:val="nil"/>
              </w:pBdr>
              <w:spacing w:line="288" w:lineRule="auto"/>
              <w:rPr>
                <w:rFonts w:ascii="Times New Roman" w:eastAsia="Times New Roman" w:hAnsi="Times New Roman" w:cs="Times New Roman"/>
                <w:b/>
                <w:bCs/>
                <w:color w:val="000000"/>
                <w:sz w:val="28"/>
                <w:szCs w:val="28"/>
              </w:rPr>
            </w:pPr>
            <w:hyperlink r:id="rId18">
              <w:r>
                <w:rPr>
                  <w:rFonts w:ascii="Times New Roman" w:eastAsia="Times New Roman" w:hAnsi="Times New Roman" w:cs="Times New Roman"/>
                  <w:b/>
                  <w:bCs/>
                  <w:color w:val="0D2E46"/>
                  <w:sz w:val="28"/>
                  <w:szCs w:val="28"/>
                  <w:u w:val="single"/>
                </w:rPr>
                <w:t>https://coas.uofallujah.edu.iq/en/academic-program-acdept</w:t>
              </w:r>
            </w:hyperlink>
            <w:r>
              <w:rPr>
                <w:rFonts w:ascii="Times New Roman" w:eastAsia="Times New Roman" w:hAnsi="Times New Roman" w:cs="Times New Roman"/>
                <w:b/>
                <w:bCs/>
                <w:color w:val="000000"/>
                <w:sz w:val="28"/>
                <w:szCs w:val="28"/>
              </w:rPr>
              <w:t xml:space="preserve"> </w:t>
            </w:r>
          </w:p>
          <w:p w:rsidR="00D70EF6" w:rsidRDefault="002B04E2">
            <w:pPr>
              <w:numPr>
                <w:ilvl w:val="0"/>
                <w:numId w:val="16"/>
              </w:numPr>
              <w:pBdr>
                <w:top w:val="nil"/>
                <w:left w:val="nil"/>
                <w:bottom w:val="nil"/>
                <w:right w:val="nil"/>
                <w:between w:val="nil"/>
              </w:pBdr>
              <w:spacing w:line="288" w:lineRule="auto"/>
              <w:rPr>
                <w:rFonts w:ascii="Times New Roman" w:eastAsia="Times New Roman" w:hAnsi="Times New Roman" w:cs="Times New Roman"/>
                <w:b/>
                <w:bCs/>
                <w:color w:val="000000"/>
                <w:sz w:val="28"/>
                <w:szCs w:val="28"/>
              </w:rPr>
            </w:pPr>
            <w:hyperlink r:id="rId19">
              <w:r>
                <w:rPr>
                  <w:rFonts w:ascii="Times New Roman" w:eastAsia="Times New Roman" w:hAnsi="Times New Roman" w:cs="Times New Roman"/>
                  <w:b/>
                  <w:bCs/>
                  <w:color w:val="0D2E46"/>
                  <w:sz w:val="28"/>
                  <w:szCs w:val="28"/>
                  <w:u w:val="single"/>
                </w:rPr>
                <w:t>https://coas.uofallujah.edu.iq/en/academic-program-btdept</w:t>
              </w:r>
            </w:hyperlink>
            <w:r>
              <w:rPr>
                <w:rFonts w:ascii="Times New Roman" w:eastAsia="Times New Roman" w:hAnsi="Times New Roman" w:cs="Times New Roman"/>
                <w:b/>
                <w:bCs/>
                <w:color w:val="000000"/>
                <w:sz w:val="28"/>
                <w:szCs w:val="28"/>
              </w:rPr>
              <w:t xml:space="preserve"> </w:t>
            </w:r>
          </w:p>
          <w:p w:rsidR="00D70EF6" w:rsidRDefault="002B04E2">
            <w:pPr>
              <w:numPr>
                <w:ilvl w:val="0"/>
                <w:numId w:val="16"/>
              </w:numPr>
              <w:pBdr>
                <w:top w:val="nil"/>
                <w:left w:val="nil"/>
                <w:bottom w:val="nil"/>
                <w:right w:val="nil"/>
                <w:between w:val="nil"/>
              </w:pBdr>
              <w:spacing w:line="288" w:lineRule="auto"/>
              <w:rPr>
                <w:rFonts w:ascii="Times New Roman" w:eastAsia="Times New Roman" w:hAnsi="Times New Roman" w:cs="Times New Roman"/>
                <w:b/>
                <w:bCs/>
                <w:color w:val="000000"/>
                <w:sz w:val="28"/>
                <w:szCs w:val="28"/>
              </w:rPr>
            </w:pPr>
            <w:hyperlink r:id="rId20">
              <w:r>
                <w:rPr>
                  <w:rFonts w:ascii="Times New Roman" w:eastAsia="Times New Roman" w:hAnsi="Times New Roman" w:cs="Times New Roman"/>
                  <w:b/>
                  <w:bCs/>
                  <w:color w:val="0D2E46"/>
                  <w:sz w:val="28"/>
                  <w:szCs w:val="28"/>
                  <w:u w:val="single"/>
                </w:rPr>
                <w:t>https://coas.uofallujah.edu.iq/en/academic-pr</w:t>
              </w:r>
              <w:r>
                <w:rPr>
                  <w:rFonts w:ascii="Times New Roman" w:eastAsia="Times New Roman" w:hAnsi="Times New Roman" w:cs="Times New Roman"/>
                  <w:b/>
                  <w:bCs/>
                  <w:color w:val="0D2E46"/>
                  <w:sz w:val="28"/>
                  <w:szCs w:val="28"/>
                  <w:u w:val="single"/>
                </w:rPr>
                <w:t>ogram-mpdept</w:t>
              </w:r>
            </w:hyperlink>
            <w:r>
              <w:rPr>
                <w:rFonts w:ascii="Times New Roman" w:eastAsia="Times New Roman" w:hAnsi="Times New Roman" w:cs="Times New Roman"/>
                <w:b/>
                <w:bCs/>
                <w:color w:val="000000"/>
                <w:sz w:val="28"/>
                <w:szCs w:val="28"/>
              </w:rPr>
              <w:t xml:space="preserve"> </w:t>
            </w:r>
          </w:p>
          <w:p w:rsidR="00D70EF6" w:rsidRDefault="002B04E2">
            <w:pPr>
              <w:numPr>
                <w:ilvl w:val="0"/>
                <w:numId w:val="16"/>
              </w:numPr>
              <w:pBdr>
                <w:top w:val="nil"/>
                <w:left w:val="nil"/>
                <w:bottom w:val="nil"/>
                <w:right w:val="nil"/>
                <w:between w:val="nil"/>
              </w:pBdr>
              <w:spacing w:after="200" w:line="288" w:lineRule="auto"/>
              <w:rPr>
                <w:rFonts w:ascii="Times New Roman" w:eastAsia="Times New Roman" w:hAnsi="Times New Roman" w:cs="Times New Roman"/>
                <w:b/>
                <w:bCs/>
                <w:color w:val="000000"/>
                <w:sz w:val="28"/>
                <w:szCs w:val="28"/>
              </w:rPr>
            </w:pPr>
            <w:hyperlink r:id="rId21">
              <w:r>
                <w:rPr>
                  <w:rFonts w:ascii="Times New Roman" w:eastAsia="Times New Roman" w:hAnsi="Times New Roman" w:cs="Times New Roman"/>
                  <w:b/>
                  <w:bCs/>
                  <w:color w:val="0D2E46"/>
                  <w:sz w:val="28"/>
                  <w:szCs w:val="28"/>
                  <w:u w:val="single"/>
                </w:rPr>
                <w:t>https://coas.uofallujah.edu.iq/en/academic-program-padept</w:t>
              </w:r>
            </w:hyperlink>
            <w:r>
              <w:rPr>
                <w:rFonts w:ascii="Times New Roman" w:eastAsia="Times New Roman" w:hAnsi="Times New Roman" w:cs="Times New Roman"/>
                <w:b/>
                <w:bCs/>
                <w:color w:val="000000"/>
                <w:sz w:val="28"/>
                <w:szCs w:val="28"/>
              </w:rPr>
              <w:t xml:space="preserve"> </w:t>
            </w:r>
          </w:p>
          <w:p w:rsidR="00D70EF6" w:rsidRDefault="00D70EF6">
            <w:pPr>
              <w:rPr>
                <w:rFonts w:ascii="Times New Roman" w:eastAsia="Times New Roman" w:hAnsi="Times New Roman" w:cs="Times New Roman"/>
                <w:b/>
                <w:bCs/>
                <w:sz w:val="32"/>
                <w:szCs w:val="32"/>
              </w:rPr>
            </w:pPr>
          </w:p>
        </w:tc>
      </w:tr>
    </w:tbl>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2B04E2">
      <w:pPr>
        <w:spacing w:after="0" w:line="240" w:lineRule="auto"/>
        <w:jc w:val="both"/>
        <w:rPr>
          <w:sz w:val="22"/>
          <w:szCs w:val="22"/>
        </w:rPr>
      </w:pPr>
      <w:r>
        <w:rPr>
          <w:sz w:val="22"/>
          <w:szCs w:val="22"/>
        </w:rPr>
        <w:t>2.1.3  Standard 3</w:t>
      </w:r>
    </w:p>
    <w:p w:rsidR="00D70EF6" w:rsidRDefault="002B04E2">
      <w:pPr>
        <w:spacing w:before="120" w:after="120" w:line="240" w:lineRule="auto"/>
        <w:rPr>
          <w:color w:val="FF0000"/>
          <w:sz w:val="22"/>
          <w:szCs w:val="22"/>
        </w:rPr>
      </w:pPr>
      <w:r>
        <w:rPr>
          <w:b/>
          <w:bCs/>
          <w:smallCaps/>
          <w:color w:val="C62324"/>
          <w:sz w:val="24"/>
          <w:szCs w:val="24"/>
        </w:rPr>
        <w:t>Student-centered learning, teaching and assessment</w:t>
      </w:r>
    </w:p>
    <w:tbl>
      <w:tblPr>
        <w:tblStyle w:val="afc"/>
        <w:tblW w:w="10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D70EF6">
        <w:tc>
          <w:tcPr>
            <w:tcW w:w="10885" w:type="dxa"/>
            <w:shd w:val="clear" w:color="auto" w:fill="D9D9D9"/>
          </w:tcPr>
          <w:p w:rsidR="00D70EF6" w:rsidRDefault="002B04E2">
            <w:pPr>
              <w:jc w:val="both"/>
              <w:rPr>
                <w:sz w:val="22"/>
                <w:szCs w:val="22"/>
              </w:rPr>
            </w:pPr>
            <w:r>
              <w:rPr>
                <w:sz w:val="22"/>
                <w:szCs w:val="22"/>
              </w:rPr>
              <w:t>Achievement and Progress</w:t>
            </w:r>
          </w:p>
        </w:tc>
      </w:tr>
      <w:tr w:rsidR="00D70EF6">
        <w:trPr>
          <w:trHeight w:val="1844"/>
        </w:trPr>
        <w:tc>
          <w:tcPr>
            <w:tcW w:w="10885" w:type="dxa"/>
          </w:tcPr>
          <w:p w:rsidR="00D70EF6" w:rsidRDefault="00D70EF6">
            <w:pPr>
              <w:jc w:val="right"/>
              <w:rPr>
                <w:rFonts w:ascii="Times New Roman" w:eastAsia="Times New Roman" w:hAnsi="Times New Roman" w:cs="Times New Roman"/>
                <w:sz w:val="22"/>
                <w:szCs w:val="22"/>
              </w:rPr>
            </w:pP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bCs/>
                <w:sz w:val="28"/>
                <w:szCs w:val="28"/>
              </w:rPr>
              <w:t>How does the educational institution respect and care for the diversity and needs of students, enabling flexible learning experiences?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educational institution is committed to respecting the diversity of students and their diverse academic, social, and </w:t>
            </w:r>
            <w:r>
              <w:rPr>
                <w:rFonts w:ascii="Times New Roman" w:eastAsia="Times New Roman" w:hAnsi="Times New Roman" w:cs="Times New Roman"/>
                <w:sz w:val="28"/>
                <w:szCs w:val="28"/>
              </w:rPr>
              <w:t>cultural backgrounds by providing an inclusive learning environment that caters to their diverse needs. This is demonstrated through:</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Providing flexible learning paths that allow students to choose courses or activities that suit their interests and abi</w:t>
            </w:r>
            <w:r>
              <w:rPr>
                <w:rFonts w:ascii="Times New Roman" w:eastAsia="Times New Roman" w:hAnsi="Times New Roman" w:cs="Times New Roman"/>
                <w:sz w:val="28"/>
                <w:szCs w:val="28"/>
              </w:rPr>
              <w:t>lities.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bCs/>
                <w:sz w:val="28"/>
                <w:szCs w:val="28"/>
              </w:rPr>
              <w:t>Recognition of Prior, Formal, Non-formal and Informal Learning</w:t>
            </w:r>
            <w:r>
              <w:rPr>
                <w:rFonts w:ascii="Times New Roman" w:eastAsia="Times New Roman" w:hAnsi="Times New Roman" w:cs="Times New Roman"/>
                <w:b/>
                <w:bCs/>
                <w:sz w:val="28"/>
                <w:szCs w:val="28"/>
              </w:rPr>
              <w:br/>
              <w:t xml:space="preserve">To </w:t>
            </w:r>
            <w:r>
              <w:rPr>
                <w:rFonts w:ascii="Times New Roman" w:eastAsia="Times New Roman" w:hAnsi="Times New Roman" w:cs="Times New Roman"/>
                <w:sz w:val="28"/>
                <w:szCs w:val="28"/>
              </w:rPr>
              <w:t>truly respect student diversity, the institution recognises learning acquired outside traditional academic programmes (work experience, informal education, prior study) and allows</w:t>
            </w:r>
            <w:r>
              <w:rPr>
                <w:rFonts w:ascii="Times New Roman" w:eastAsia="Times New Roman" w:hAnsi="Times New Roman" w:cs="Times New Roman"/>
                <w:sz w:val="28"/>
                <w:szCs w:val="28"/>
              </w:rPr>
              <w:t xml:space="preserve"> it to count towards degree progress. This supports adult learners, return-to-study students and those from non-traditional pathways.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b/>
                <w:bCs/>
                <w:sz w:val="28"/>
                <w:szCs w:val="28"/>
              </w:rPr>
              <w:t>Inclusive Teaching, Assessment and Student Support</w:t>
            </w:r>
            <w:r>
              <w:rPr>
                <w:rFonts w:ascii="Times New Roman" w:eastAsia="Times New Roman" w:hAnsi="Times New Roman" w:cs="Times New Roman"/>
                <w:sz w:val="28"/>
                <w:szCs w:val="28"/>
              </w:rPr>
              <w:br/>
              <w:t>The institution adopts student-centred pedagogy, inclusive assessmen</w:t>
            </w:r>
            <w:r>
              <w:rPr>
                <w:rFonts w:ascii="Times New Roman" w:eastAsia="Times New Roman" w:hAnsi="Times New Roman" w:cs="Times New Roman"/>
                <w:sz w:val="28"/>
                <w:szCs w:val="28"/>
              </w:rPr>
              <w:t>t options (e.g., varied formats, flexibility in deadlines) and support services (academic advising, mentoring, cultural/language support) to accommodate students of varied academic preparation, backgrounds and learning styles. This is consistent with Bolog</w:t>
            </w:r>
            <w:r>
              <w:rPr>
                <w:rFonts w:ascii="Times New Roman" w:eastAsia="Times New Roman" w:hAnsi="Times New Roman" w:cs="Times New Roman"/>
                <w:sz w:val="28"/>
                <w:szCs w:val="28"/>
              </w:rPr>
              <w:t>na’s emphasis on widening access and ensuring completion.</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Encouraging psychological and social well-being through educational guidance units and providing the necessary support when needed.</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Promoting the values ​​of mutual respect and cooperation bet</w:t>
            </w:r>
            <w:r>
              <w:rPr>
                <w:rFonts w:ascii="Times New Roman" w:eastAsia="Times New Roman" w:hAnsi="Times New Roman" w:cs="Times New Roman"/>
                <w:sz w:val="28"/>
                <w:szCs w:val="28"/>
              </w:rPr>
              <w:t>ween students and faculty members to ensure a positive and stimulating learning environment.</w:t>
            </w:r>
          </w:p>
          <w:p w:rsidR="00D70EF6" w:rsidRDefault="002B04E2">
            <w:pPr>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bCs/>
                <w:sz w:val="28"/>
                <w:szCs w:val="28"/>
              </w:rPr>
              <w:t>How does the educational institution view and utilize various knowledge transfer methods where appropriate?</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educational institution views knowledge transfer</w:t>
            </w:r>
            <w:r>
              <w:rPr>
                <w:rFonts w:ascii="Times New Roman" w:eastAsia="Times New Roman" w:hAnsi="Times New Roman" w:cs="Times New Roman"/>
                <w:sz w:val="28"/>
                <w:szCs w:val="28"/>
              </w:rPr>
              <w:t xml:space="preserve"> methods as multiple, integrated tools, and is keen to employ them in a manner consistent with the nature of the courses and student needs. It relies on:</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Traditional direct methods, such as lectures and classroom discussions, to convey fundamental and e</w:t>
            </w:r>
            <w:r>
              <w:rPr>
                <w:rFonts w:ascii="Times New Roman" w:eastAsia="Times New Roman" w:hAnsi="Times New Roman" w:cs="Times New Roman"/>
                <w:sz w:val="28"/>
                <w:szCs w:val="28"/>
              </w:rPr>
              <w:t>ssential concepts.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Involving students in examining and treating medical cases brought to the college.</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Modern interactive methods, such as electronic platforms, demonstrations, and practical simulations, which facilitate the understanding of complex c</w:t>
            </w:r>
            <w:r>
              <w:rPr>
                <w:rFonts w:ascii="Times New Roman" w:eastAsia="Times New Roman" w:hAnsi="Times New Roman" w:cs="Times New Roman"/>
                <w:sz w:val="28"/>
                <w:szCs w:val="28"/>
              </w:rPr>
              <w:t>oncepts.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Research- and project-based learning to develop students' critical thinking skills and independence.</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Collaborative learning through work groups and classroom activities that promote knowledge exchange among students.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Use of diverse resour</w:t>
            </w:r>
            <w:r>
              <w:rPr>
                <w:rFonts w:ascii="Times New Roman" w:eastAsia="Times New Roman" w:hAnsi="Times New Roman" w:cs="Times New Roman"/>
                <w:sz w:val="28"/>
                <w:szCs w:val="28"/>
              </w:rPr>
              <w:t>ces, such as electronic references, laboratories, and discussion groups, to ensure comprehensive knowledge.</w:t>
            </w:r>
          </w:p>
          <w:p w:rsidR="00D70EF6" w:rsidRDefault="00D70EF6">
            <w:pPr>
              <w:jc w:val="both"/>
              <w:rPr>
                <w:rFonts w:ascii="Times New Roman" w:eastAsia="Times New Roman" w:hAnsi="Times New Roman" w:cs="Times New Roman"/>
                <w:sz w:val="28"/>
                <w:szCs w:val="28"/>
              </w:rPr>
            </w:pP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b/>
                <w:bCs/>
                <w:sz w:val="28"/>
                <w:szCs w:val="28"/>
              </w:rPr>
              <w:t>The flexibility of the educational institution in using a variety of educational methods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educational institution has a high degree of flexibility in using educational methods, taking into account individual differences among students and responding to their various learning needs. This is achieved through:</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Diversifying teaching methods </w:t>
            </w:r>
            <w:r>
              <w:rPr>
                <w:rFonts w:ascii="Times New Roman" w:eastAsia="Times New Roman" w:hAnsi="Times New Roman" w:cs="Times New Roman"/>
                <w:sz w:val="28"/>
                <w:szCs w:val="28"/>
              </w:rPr>
              <w:t>between lectures, discussions, collaborative learning, and problem-based learning.</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Using modern technologies such as e-learning, simulations, and digital platforms to support the educational process.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Implementing diverse assessment methods that take </w:t>
            </w:r>
            <w:r>
              <w:rPr>
                <w:rFonts w:ascii="Times New Roman" w:eastAsia="Times New Roman" w:hAnsi="Times New Roman" w:cs="Times New Roman"/>
                <w:sz w:val="28"/>
                <w:szCs w:val="28"/>
              </w:rPr>
              <w:t>into account the different abilities of students, such as written exams, presentations, and research reports.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Encouraging self-learning by assigning students individual projects and field research.</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Creating a flexible learning environment that allows</w:t>
            </w:r>
            <w:r>
              <w:rPr>
                <w:rFonts w:ascii="Times New Roman" w:eastAsia="Times New Roman" w:hAnsi="Times New Roman" w:cs="Times New Roman"/>
                <w:sz w:val="28"/>
                <w:szCs w:val="28"/>
              </w:rPr>
              <w:t xml:space="preserve"> for interaction and active participation from all students.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ensures that educational objectives are achieved more comprehensively and effectively, while taking into account the diversity of students' learning styles.</w:t>
            </w:r>
          </w:p>
          <w:p w:rsidR="00D70EF6" w:rsidRDefault="00D70EF6">
            <w:pPr>
              <w:jc w:val="both"/>
              <w:rPr>
                <w:rFonts w:ascii="Times New Roman" w:eastAsia="Times New Roman" w:hAnsi="Times New Roman" w:cs="Times New Roman"/>
                <w:sz w:val="28"/>
                <w:szCs w:val="28"/>
              </w:rPr>
            </w:pP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b/>
                <w:bCs/>
                <w:sz w:val="28"/>
                <w:szCs w:val="28"/>
              </w:rPr>
              <w:t>How the educational institution regularly evaluates and adjusts its teaching methods and pedagogical approaches.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department/educational institution regularly evaluates and adjusts knowledge transfer methods and pedagogical approaches through:</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Period</w:t>
            </w:r>
            <w:r>
              <w:rPr>
                <w:rFonts w:ascii="Times New Roman" w:eastAsia="Times New Roman" w:hAnsi="Times New Roman" w:cs="Times New Roman"/>
                <w:sz w:val="28"/>
                <w:szCs w:val="28"/>
              </w:rPr>
              <w:t>ically evaluating curricula through academic committees and departmental councils to review their suitability for scientific developments and student needs.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Surveying student and faculty opinions on the effectiveness of teaching methods and assessment t</w:t>
            </w:r>
            <w:r>
              <w:rPr>
                <w:rFonts w:ascii="Times New Roman" w:eastAsia="Times New Roman" w:hAnsi="Times New Roman" w:cs="Times New Roman"/>
                <w:sz w:val="28"/>
                <w:szCs w:val="28"/>
              </w:rPr>
              <w:t>ools, and using the results to improve educational practices.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Relying on examination results and continuous assessment to analyze the strengths and weaknesses of teaching methods.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Introducing modern technologies and updating educational tools to keep</w:t>
            </w:r>
            <w:r>
              <w:rPr>
                <w:rFonts w:ascii="Times New Roman" w:eastAsia="Times New Roman" w:hAnsi="Times New Roman" w:cs="Times New Roman"/>
                <w:sz w:val="28"/>
                <w:szCs w:val="28"/>
              </w:rPr>
              <w:t xml:space="preserve"> pace with technological developments and labor market requirements.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Training and development programs for faculty members to enable them to adopt modern and effective pedagogical approaches.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Annually reviewing teaching plans to ensure flexibility fo</w:t>
            </w:r>
            <w:r>
              <w:rPr>
                <w:rFonts w:ascii="Times New Roman" w:eastAsia="Times New Roman" w:hAnsi="Times New Roman" w:cs="Times New Roman"/>
                <w:sz w:val="28"/>
                <w:szCs w:val="28"/>
              </w:rPr>
              <w:t>r continuous modification and improvement.</w:t>
            </w:r>
          </w:p>
          <w:p w:rsidR="00D70EF6" w:rsidRDefault="00D70EF6">
            <w:pPr>
              <w:jc w:val="both"/>
              <w:rPr>
                <w:rFonts w:ascii="Times New Roman" w:eastAsia="Times New Roman" w:hAnsi="Times New Roman" w:cs="Times New Roman"/>
                <w:sz w:val="28"/>
                <w:szCs w:val="28"/>
              </w:rPr>
            </w:pP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b/>
                <w:bCs/>
                <w:sz w:val="28"/>
                <w:szCs w:val="28"/>
              </w:rPr>
              <w:t>How the educational institution encourages learner autonomy, while ensuring appropriate guidance and support from the teacher.</w:t>
            </w:r>
            <w:r>
              <w:rPr>
                <w:rFonts w:ascii="Times New Roman" w:eastAsia="Times New Roman" w:hAnsi="Times New Roman" w:cs="Times New Roman"/>
                <w:sz w:val="28"/>
                <w:szCs w:val="28"/>
              </w:rPr>
              <w:t xml:space="preserve"> </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department/institution encourages learner independence through:</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Promoting </w:t>
            </w:r>
            <w:r>
              <w:rPr>
                <w:rFonts w:ascii="Times New Roman" w:eastAsia="Times New Roman" w:hAnsi="Times New Roman" w:cs="Times New Roman"/>
                <w:sz w:val="28"/>
                <w:szCs w:val="28"/>
              </w:rPr>
              <w:t>self-learning by assigning students individual research and projects that develop research and analytical skills.</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Using stimulating educational methods such as problem-based learning and cooperative learning, which gives students an active role in knowl</w:t>
            </w:r>
            <w:r>
              <w:rPr>
                <w:rFonts w:ascii="Times New Roman" w:eastAsia="Times New Roman" w:hAnsi="Times New Roman" w:cs="Times New Roman"/>
                <w:sz w:val="28"/>
                <w:szCs w:val="28"/>
              </w:rPr>
              <w:t>edge construction.</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Providing academic and psychological guidance to ensure learners are guided on the right path without limiting their independence.</w:t>
            </w: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Creating a supportive learning environment that enhances self-confidence and encourages decision-mak</w:t>
            </w:r>
            <w:r>
              <w:rPr>
                <w:rFonts w:ascii="Times New Roman" w:eastAsia="Times New Roman" w:hAnsi="Times New Roman" w:cs="Times New Roman"/>
                <w:sz w:val="28"/>
                <w:szCs w:val="28"/>
              </w:rPr>
              <w:t>ing and responsibility.</w:t>
            </w:r>
          </w:p>
          <w:p w:rsidR="00D70EF6" w:rsidRDefault="00D70EF6">
            <w:pPr>
              <w:jc w:val="both"/>
              <w:rPr>
                <w:rFonts w:ascii="Times New Roman" w:eastAsia="Times New Roman" w:hAnsi="Times New Roman" w:cs="Times New Roman"/>
                <w:sz w:val="28"/>
                <w:szCs w:val="28"/>
              </w:rPr>
            </w:pPr>
          </w:p>
          <w:p w:rsidR="00D70EF6" w:rsidRDefault="00D70EF6">
            <w:pPr>
              <w:jc w:val="both"/>
              <w:rPr>
                <w:rFonts w:ascii="Times New Roman" w:eastAsia="Times New Roman" w:hAnsi="Times New Roman" w:cs="Times New Roman"/>
                <w:sz w:val="28"/>
                <w:szCs w:val="28"/>
              </w:rPr>
            </w:pPr>
          </w:p>
          <w:p w:rsidR="00D70EF6" w:rsidRDefault="00D70EF6">
            <w:pPr>
              <w:bidi/>
              <w:rPr>
                <w:rFonts w:ascii="Times New Roman" w:eastAsia="Times New Roman" w:hAnsi="Times New Roman" w:cs="Times New Roman"/>
                <w:sz w:val="22"/>
                <w:szCs w:val="22"/>
              </w:rPr>
            </w:pPr>
          </w:p>
          <w:p w:rsidR="00D70EF6" w:rsidRDefault="00D70EF6">
            <w:pPr>
              <w:bidi/>
              <w:rPr>
                <w:rFonts w:ascii="Times New Roman" w:eastAsia="Times New Roman" w:hAnsi="Times New Roman" w:cs="Times New Roman"/>
                <w:sz w:val="22"/>
                <w:szCs w:val="22"/>
              </w:rPr>
            </w:pPr>
          </w:p>
        </w:tc>
      </w:tr>
    </w:tbl>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2B04E2">
      <w:pPr>
        <w:spacing w:after="0" w:line="240" w:lineRule="auto"/>
        <w:jc w:val="both"/>
        <w:rPr>
          <w:sz w:val="22"/>
          <w:szCs w:val="22"/>
        </w:rPr>
      </w:pPr>
      <w:r>
        <w:rPr>
          <w:sz w:val="22"/>
          <w:szCs w:val="22"/>
        </w:rPr>
        <w:t>2.1.4  Standard 4</w:t>
      </w:r>
    </w:p>
    <w:p w:rsidR="00D70EF6" w:rsidRDefault="002B04E2">
      <w:pPr>
        <w:spacing w:before="120" w:after="120" w:line="240" w:lineRule="auto"/>
        <w:rPr>
          <w:b/>
          <w:bCs/>
          <w:smallCaps/>
          <w:color w:val="C62324"/>
          <w:sz w:val="24"/>
          <w:szCs w:val="24"/>
        </w:rPr>
      </w:pPr>
      <w:r>
        <w:rPr>
          <w:b/>
          <w:bCs/>
          <w:smallCaps/>
          <w:color w:val="C62324"/>
          <w:sz w:val="24"/>
          <w:szCs w:val="24"/>
        </w:rPr>
        <w:t>Student admission, progression, recognition and certification</w:t>
      </w:r>
    </w:p>
    <w:tbl>
      <w:tblPr>
        <w:tblStyle w:val="afd"/>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6"/>
      </w:tblGrid>
      <w:tr w:rsidR="00D70EF6">
        <w:tc>
          <w:tcPr>
            <w:tcW w:w="11016" w:type="dxa"/>
            <w:shd w:val="clear" w:color="auto" w:fill="D9D9D9"/>
          </w:tcPr>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Achievement and Progress</w:t>
            </w:r>
          </w:p>
        </w:tc>
      </w:tr>
      <w:tr w:rsidR="00D70EF6">
        <w:trPr>
          <w:trHeight w:val="1988"/>
        </w:trPr>
        <w:tc>
          <w:tcPr>
            <w:tcW w:w="11016" w:type="dxa"/>
          </w:tcPr>
          <w:p w:rsidR="00D70EF6" w:rsidRDefault="00D70EF6">
            <w:pPr>
              <w:jc w:val="both"/>
              <w:rPr>
                <w:rFonts w:ascii="Times New Roman" w:eastAsia="Times New Roman" w:hAnsi="Times New Roman" w:cs="Times New Roman"/>
                <w:sz w:val="22"/>
                <w:szCs w:val="22"/>
              </w:rPr>
            </w:pPr>
          </w:p>
          <w:p w:rsidR="00D70EF6" w:rsidRDefault="002B04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University of Fallujah is committed to implementing clear, pre-announced academic and administrative regulations that cover all stages of the student lifecycle, from admission to final certification. This report aims to clarify the mechanisms for the pract</w:t>
            </w:r>
            <w:r>
              <w:rPr>
                <w:rFonts w:ascii="Times New Roman" w:eastAsia="Times New Roman" w:hAnsi="Times New Roman" w:cs="Times New Roman"/>
                <w:sz w:val="28"/>
                <w:szCs w:val="28"/>
              </w:rPr>
              <w:t>ical application of these standards to ensure transparency, fairness, and academic quality.</w:t>
            </w:r>
          </w:p>
          <w:p w:rsidR="00D70EF6" w:rsidRDefault="002B04E2">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First: Student Admission</w:t>
            </w:r>
          </w:p>
          <w:p w:rsidR="00D70EF6" w:rsidRDefault="002B04E2">
            <w:pPr>
              <w:numPr>
                <w:ilvl w:val="0"/>
                <w:numId w:val="17"/>
              </w:numPr>
              <w:pBdr>
                <w:top w:val="nil"/>
                <w:left w:val="nil"/>
                <w:bottom w:val="nil"/>
                <w:right w:val="nil"/>
                <w:between w:val="nil"/>
              </w:pBdr>
              <w:spacing w:after="20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Admission of students to colleges and departments is carried out through the Central Admission System of the Ministry of Higher Education and Scientific Research, based on students’ grades and preferences.</w:t>
            </w:r>
          </w:p>
          <w:p w:rsidR="00D70EF6" w:rsidRDefault="002B04E2">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Second: Academic Progression</w:t>
            </w:r>
          </w:p>
          <w:p w:rsidR="00D70EF6" w:rsidRDefault="002B04E2">
            <w:pPr>
              <w:numPr>
                <w:ilvl w:val="0"/>
                <w:numId w:val="21"/>
              </w:numPr>
              <w:pBdr>
                <w:top w:val="nil"/>
                <w:left w:val="nil"/>
                <w:bottom w:val="nil"/>
                <w:right w:val="nil"/>
                <w:between w:val="nil"/>
              </w:pBd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Students undergo continuous assessment, including mid-term and final examinations, in addition to practical and field activities.</w:t>
            </w:r>
          </w:p>
          <w:p w:rsidR="00D70EF6" w:rsidRDefault="002B04E2">
            <w:pPr>
              <w:numPr>
                <w:ilvl w:val="0"/>
                <w:numId w:val="21"/>
              </w:numPr>
              <w:pBdr>
                <w:top w:val="nil"/>
                <w:left w:val="nil"/>
                <w:bottom w:val="nil"/>
                <w:right w:val="nil"/>
                <w:between w:val="nil"/>
              </w:pBd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Success rates and progression from one academic stage to another are determined according to unified and approved systems.</w:t>
            </w:r>
          </w:p>
          <w:p w:rsidR="00D70EF6" w:rsidRDefault="002B04E2">
            <w:pPr>
              <w:numPr>
                <w:ilvl w:val="0"/>
                <w:numId w:val="21"/>
              </w:numPr>
              <w:pBdr>
                <w:top w:val="nil"/>
                <w:left w:val="nil"/>
                <w:bottom w:val="nil"/>
                <w:right w:val="nil"/>
                <w:between w:val="nil"/>
              </w:pBdr>
              <w:spacing w:after="20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w:t>
            </w:r>
            <w:r>
              <w:rPr>
                <w:rFonts w:ascii="Times New Roman" w:eastAsia="Times New Roman" w:hAnsi="Times New Roman" w:cs="Times New Roman"/>
                <w:color w:val="000000"/>
                <w:sz w:val="28"/>
                <w:szCs w:val="28"/>
              </w:rPr>
              <w:t>dents are given opportunities to retake exams or improve their results within a specified timeframe.</w:t>
            </w:r>
          </w:p>
          <w:p w:rsidR="00D70EF6" w:rsidRDefault="002B04E2">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Third: Recognition of Achievements</w:t>
            </w:r>
          </w:p>
          <w:p w:rsidR="00D70EF6" w:rsidRDefault="002B04E2">
            <w:pPr>
              <w:numPr>
                <w:ilvl w:val="0"/>
                <w:numId w:val="22"/>
              </w:numPr>
              <w:pBdr>
                <w:top w:val="nil"/>
                <w:left w:val="nil"/>
                <w:bottom w:val="nil"/>
                <w:right w:val="nil"/>
                <w:between w:val="nil"/>
              </w:pBd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Achievements of outstanding students are honored through academic awards and incentive scholarships.</w:t>
            </w:r>
          </w:p>
          <w:p w:rsidR="00D70EF6" w:rsidRDefault="002B04E2">
            <w:pPr>
              <w:numPr>
                <w:ilvl w:val="0"/>
                <w:numId w:val="22"/>
              </w:numPr>
              <w:pBdr>
                <w:top w:val="nil"/>
                <w:left w:val="nil"/>
                <w:bottom w:val="nil"/>
                <w:right w:val="nil"/>
                <w:between w:val="nil"/>
              </w:pBdr>
              <w:spacing w:after="20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Courses completed by the student at other universities are recognized when approved cooperation or academic transfer agreements exist.</w:t>
            </w:r>
          </w:p>
          <w:p w:rsidR="00D70EF6" w:rsidRDefault="002B04E2">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Fourth: Certification</w:t>
            </w:r>
          </w:p>
          <w:p w:rsidR="00D70EF6" w:rsidRDefault="002B04E2">
            <w:pPr>
              <w:numPr>
                <w:ilvl w:val="0"/>
                <w:numId w:val="23"/>
              </w:numPr>
              <w:pBdr>
                <w:top w:val="nil"/>
                <w:left w:val="nil"/>
                <w:bottom w:val="nil"/>
                <w:right w:val="nil"/>
                <w:between w:val="nil"/>
              </w:pBd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University of Fallujah issues graduation certificates after verifying that the student has fulf</w:t>
            </w:r>
            <w:r>
              <w:rPr>
                <w:rFonts w:ascii="Times New Roman" w:eastAsia="Times New Roman" w:hAnsi="Times New Roman" w:cs="Times New Roman"/>
                <w:color w:val="000000"/>
                <w:sz w:val="28"/>
                <w:szCs w:val="28"/>
              </w:rPr>
              <w:t>illed all academic and practical requirements.</w:t>
            </w:r>
          </w:p>
          <w:p w:rsidR="00D70EF6" w:rsidRDefault="002B04E2">
            <w:pPr>
              <w:numPr>
                <w:ilvl w:val="0"/>
                <w:numId w:val="23"/>
              </w:numPr>
              <w:pBdr>
                <w:top w:val="nil"/>
                <w:left w:val="nil"/>
                <w:bottom w:val="nil"/>
                <w:right w:val="nil"/>
                <w:between w:val="nil"/>
              </w:pBdr>
              <w:spacing w:after="20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Certificates are officially authenticated by the University of Fallujah and the Ministry of Higher Education and Scientific Research to ensure local and international recognition.</w:t>
            </w: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sz w:val="28"/>
                <w:szCs w:val="28"/>
              </w:rPr>
              <w:t>By implementing these regulat</w:t>
            </w:r>
            <w:r>
              <w:rPr>
                <w:rFonts w:ascii="Times New Roman" w:eastAsia="Times New Roman" w:hAnsi="Times New Roman" w:cs="Times New Roman"/>
                <w:sz w:val="28"/>
                <w:szCs w:val="28"/>
              </w:rPr>
              <w:t xml:space="preserve">ions, University of Fallujah ensures a fair and transparent academic environment and provides students with a comprehensive educational path from admission to </w:t>
            </w:r>
            <w:r>
              <w:rPr>
                <w:rFonts w:ascii="Times New Roman" w:eastAsia="Times New Roman" w:hAnsi="Times New Roman" w:cs="Times New Roman"/>
                <w:sz w:val="28"/>
                <w:szCs w:val="28"/>
              </w:rPr>
              <w:lastRenderedPageBreak/>
              <w:t>graduation. Adherence to these mechanisms enhances the quality of education and contributes to ac</w:t>
            </w:r>
            <w:r>
              <w:rPr>
                <w:rFonts w:ascii="Times New Roman" w:eastAsia="Times New Roman" w:hAnsi="Times New Roman" w:cs="Times New Roman"/>
                <w:sz w:val="28"/>
                <w:szCs w:val="28"/>
              </w:rPr>
              <w:t>hieving academic quality assurance standards.</w:t>
            </w:r>
          </w:p>
          <w:p w:rsidR="00D70EF6" w:rsidRDefault="00D70EF6">
            <w:pPr>
              <w:jc w:val="both"/>
              <w:rPr>
                <w:rFonts w:ascii="Times New Roman" w:eastAsia="Times New Roman" w:hAnsi="Times New Roman" w:cs="Times New Roman"/>
                <w:sz w:val="22"/>
                <w:szCs w:val="22"/>
              </w:rPr>
            </w:pP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 more information:</w:t>
            </w:r>
          </w:p>
          <w:p w:rsidR="00D70EF6" w:rsidRDefault="002B04E2">
            <w:pPr>
              <w:jc w:val="both"/>
              <w:rPr>
                <w:rFonts w:ascii="Times New Roman" w:eastAsia="Times New Roman" w:hAnsi="Times New Roman" w:cs="Times New Roman"/>
                <w:sz w:val="22"/>
                <w:szCs w:val="22"/>
              </w:rPr>
            </w:pPr>
            <w:hyperlink r:id="rId22">
              <w:r>
                <w:rPr>
                  <w:rFonts w:ascii="Times New Roman" w:eastAsia="Times New Roman" w:hAnsi="Times New Roman" w:cs="Times New Roman"/>
                  <w:color w:val="0D2E46"/>
                  <w:sz w:val="22"/>
                  <w:szCs w:val="22"/>
                  <w:u w:val="single"/>
                </w:rPr>
                <w:t>https://www.uofallujah.edu.iq/sites/default/files/2025-12/%D9%A2%D9%A0%D9%A2%D9%A4_%D9%A2%D9%A0%D9%A2%D9%A5%E2%80%8E%E2%81%A8%D8%AF%D9%84%D9%8A%D9%84%20%D9%85%D8%B3</w:t>
              </w:r>
              <w:r>
                <w:rPr>
                  <w:rFonts w:ascii="Times New Roman" w:eastAsia="Times New Roman" w:hAnsi="Times New Roman" w:cs="Times New Roman"/>
                  <w:color w:val="0D2E46"/>
                  <w:sz w:val="22"/>
                  <w:szCs w:val="22"/>
                  <w:u w:val="single"/>
                </w:rPr>
                <w:t>%D8%A7%D8%B1%20%D8%A8%D9%88%D9%84%D9%88%D9%86%D9%8A%D8%A7%20%D9%81%D9%8A%20%D8%AC%D8%A7%D9%85%D8%B9%D8%A9%20%D8%A7%D9%84%D9%81%D9%84%D9%88%D8%AC%D8%A9%20%E2%81%A9.pdf</w:t>
              </w:r>
            </w:hyperlink>
            <w:r>
              <w:rPr>
                <w:rFonts w:ascii="Times New Roman" w:eastAsia="Times New Roman" w:hAnsi="Times New Roman" w:cs="Times New Roman"/>
                <w:sz w:val="22"/>
                <w:szCs w:val="22"/>
              </w:rPr>
              <w:t xml:space="preserve"> </w:t>
            </w:r>
          </w:p>
        </w:tc>
      </w:tr>
    </w:tbl>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2B04E2">
      <w:pPr>
        <w:spacing w:after="0" w:line="240" w:lineRule="auto"/>
        <w:jc w:val="both"/>
        <w:rPr>
          <w:sz w:val="22"/>
          <w:szCs w:val="22"/>
        </w:rPr>
      </w:pPr>
      <w:r>
        <w:rPr>
          <w:sz w:val="22"/>
          <w:szCs w:val="22"/>
        </w:rPr>
        <w:t>2.1.5  Standard 5</w:t>
      </w:r>
    </w:p>
    <w:p w:rsidR="00D70EF6" w:rsidRDefault="002B04E2">
      <w:pPr>
        <w:spacing w:after="120" w:line="240" w:lineRule="auto"/>
        <w:jc w:val="both"/>
        <w:rPr>
          <w:b/>
          <w:bCs/>
          <w:smallCaps/>
          <w:color w:val="C62324"/>
          <w:sz w:val="24"/>
          <w:szCs w:val="24"/>
        </w:rPr>
      </w:pPr>
      <w:r>
        <w:rPr>
          <w:b/>
          <w:bCs/>
          <w:smallCaps/>
          <w:color w:val="C62324"/>
          <w:sz w:val="24"/>
          <w:szCs w:val="24"/>
        </w:rPr>
        <w:t>Teaching staff</w:t>
      </w:r>
    </w:p>
    <w:p w:rsidR="00D70EF6" w:rsidRDefault="002B04E2">
      <w:pPr>
        <w:spacing w:after="120" w:line="240" w:lineRule="auto"/>
        <w:jc w:val="both"/>
        <w:rPr>
          <w:b/>
          <w:bCs/>
          <w:smallCaps/>
          <w:color w:val="C62324"/>
          <w:sz w:val="24"/>
          <w:szCs w:val="24"/>
        </w:rPr>
      </w:pPr>
      <w:r>
        <w:t>Most faculty members teach according to the regular system at a rate exceeding 50%; therefore, they are not evaluated according to (API), in accordance with the Ministry’s directives.</w:t>
      </w:r>
    </w:p>
    <w:p w:rsidR="00D70EF6" w:rsidRDefault="00D70EF6">
      <w:pPr>
        <w:spacing w:after="0" w:line="240" w:lineRule="auto"/>
        <w:jc w:val="both"/>
        <w:rPr>
          <w:sz w:val="22"/>
          <w:szCs w:val="22"/>
        </w:rPr>
      </w:pPr>
    </w:p>
    <w:p w:rsidR="00D70EF6" w:rsidRDefault="002B04E2">
      <w:pPr>
        <w:spacing w:after="0" w:line="240" w:lineRule="auto"/>
        <w:jc w:val="both"/>
        <w:rPr>
          <w:sz w:val="22"/>
          <w:szCs w:val="22"/>
        </w:rPr>
      </w:pPr>
      <w:r>
        <w:rPr>
          <w:sz w:val="22"/>
          <w:szCs w:val="22"/>
        </w:rPr>
        <w:t>2.1.6  Standard 6</w:t>
      </w:r>
    </w:p>
    <w:p w:rsidR="00D70EF6" w:rsidRDefault="002B04E2">
      <w:pPr>
        <w:spacing w:before="120" w:after="120" w:line="240" w:lineRule="auto"/>
        <w:rPr>
          <w:b/>
          <w:bCs/>
          <w:smallCaps/>
          <w:color w:val="C62324"/>
          <w:sz w:val="24"/>
          <w:szCs w:val="24"/>
        </w:rPr>
      </w:pPr>
      <w:r>
        <w:rPr>
          <w:b/>
          <w:bCs/>
          <w:smallCaps/>
          <w:color w:val="C62324"/>
          <w:sz w:val="24"/>
          <w:szCs w:val="24"/>
        </w:rPr>
        <w:t>Learning resources and student support</w:t>
      </w:r>
    </w:p>
    <w:tbl>
      <w:tblPr>
        <w:tblStyle w:val="afe"/>
        <w:tblW w:w="10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D70EF6">
        <w:tc>
          <w:tcPr>
            <w:tcW w:w="10885" w:type="dxa"/>
            <w:shd w:val="clear" w:color="auto" w:fill="D9D9D9"/>
          </w:tcPr>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Achievement an</w:t>
            </w:r>
            <w:r>
              <w:rPr>
                <w:rFonts w:ascii="Times New Roman" w:eastAsia="Times New Roman" w:hAnsi="Times New Roman" w:cs="Times New Roman"/>
                <w:sz w:val="22"/>
                <w:szCs w:val="22"/>
              </w:rPr>
              <w:t>d Progress</w:t>
            </w:r>
          </w:p>
        </w:tc>
      </w:tr>
      <w:tr w:rsidR="00D70EF6">
        <w:trPr>
          <w:trHeight w:val="370"/>
        </w:trPr>
        <w:tc>
          <w:tcPr>
            <w:tcW w:w="10885" w:type="dxa"/>
          </w:tcPr>
          <w:p w:rsidR="00D70EF6" w:rsidRDefault="00D70EF6">
            <w:pPr>
              <w:spacing w:line="276" w:lineRule="auto"/>
              <w:jc w:val="both"/>
              <w:rPr>
                <w:rFonts w:ascii="Times New Roman" w:eastAsia="Times New Roman" w:hAnsi="Times New Roman" w:cs="Times New Roman"/>
                <w:sz w:val="22"/>
                <w:szCs w:val="22"/>
              </w:rPr>
            </w:pPr>
          </w:p>
          <w:p w:rsidR="00D70EF6" w:rsidRDefault="002B04E2">
            <w:pPr>
              <w:numPr>
                <w:ilvl w:val="0"/>
                <w:numId w:val="20"/>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Educational resources and student support represent a fundamental pillar of the Bologna-based university education model at the University of Fallujah. The university is committed to providing a comprehensive and stimulating learning environment, including</w:t>
            </w:r>
            <w:r>
              <w:rPr>
                <w:rFonts w:ascii="Times New Roman" w:eastAsia="Times New Roman" w:hAnsi="Times New Roman" w:cs="Times New Roman"/>
                <w:sz w:val="22"/>
                <w:szCs w:val="22"/>
              </w:rPr>
              <w:t xml:space="preserve"> a modern academic library offering diverse scientific references covering all disciplines, as well as a fully equipped set of scientific laboratories with the latest technologies serving the practical aspects of study programs.</w:t>
            </w:r>
          </w:p>
          <w:p w:rsidR="00D70EF6" w:rsidRDefault="002B04E2">
            <w:pPr>
              <w:numPr>
                <w:ilvl w:val="0"/>
                <w:numId w:val="20"/>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university enhances stu</w:t>
            </w:r>
            <w:r>
              <w:rPr>
                <w:rFonts w:ascii="Times New Roman" w:eastAsia="Times New Roman" w:hAnsi="Times New Roman" w:cs="Times New Roman"/>
                <w:sz w:val="22"/>
                <w:szCs w:val="22"/>
              </w:rPr>
              <w:t>dents' research and scientific skills by providing specialized workshops and discussion sessions, and facilitating access to accredited electronic scientific platforms. Additionally, the university closely collaborates with local and global community insti</w:t>
            </w:r>
            <w:r>
              <w:rPr>
                <w:rFonts w:ascii="Times New Roman" w:eastAsia="Times New Roman" w:hAnsi="Times New Roman" w:cs="Times New Roman"/>
                <w:sz w:val="22"/>
                <w:szCs w:val="22"/>
              </w:rPr>
              <w:t>tutions, including hospitals and research centers, to offer training and practical opportunities that enrich students' experiences and align their education with labor market requirements.</w:t>
            </w:r>
          </w:p>
        </w:tc>
      </w:tr>
    </w:tbl>
    <w:p w:rsidR="00D70EF6" w:rsidRDefault="002B04E2">
      <w:pPr>
        <w:spacing w:after="0" w:line="240" w:lineRule="auto"/>
        <w:jc w:val="both"/>
        <w:rPr>
          <w:sz w:val="22"/>
          <w:szCs w:val="22"/>
        </w:rPr>
      </w:pPr>
      <w:r>
        <w:rPr>
          <w:sz w:val="22"/>
          <w:szCs w:val="22"/>
        </w:rPr>
        <w:t>2.1.7  Standard 7</w:t>
      </w:r>
    </w:p>
    <w:p w:rsidR="00D70EF6" w:rsidRDefault="002B04E2">
      <w:pPr>
        <w:spacing w:before="120" w:after="120" w:line="240" w:lineRule="auto"/>
        <w:rPr>
          <w:b/>
          <w:bCs/>
          <w:smallCaps/>
          <w:color w:val="C62324"/>
          <w:sz w:val="24"/>
          <w:szCs w:val="24"/>
        </w:rPr>
      </w:pPr>
      <w:r>
        <w:rPr>
          <w:b/>
          <w:bCs/>
          <w:smallCaps/>
          <w:color w:val="C62324"/>
          <w:sz w:val="24"/>
          <w:szCs w:val="24"/>
        </w:rPr>
        <w:t>Information management</w:t>
      </w:r>
    </w:p>
    <w:tbl>
      <w:tblPr>
        <w:tblStyle w:val="aff"/>
        <w:tblW w:w="10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D70EF6">
        <w:tc>
          <w:tcPr>
            <w:tcW w:w="10885" w:type="dxa"/>
            <w:shd w:val="clear" w:color="auto" w:fill="D9D9D9"/>
          </w:tcPr>
          <w:p w:rsidR="00D70EF6" w:rsidRDefault="002B04E2">
            <w:pPr>
              <w:jc w:val="both"/>
              <w:rPr>
                <w:sz w:val="22"/>
                <w:szCs w:val="22"/>
              </w:rPr>
            </w:pPr>
            <w:r>
              <w:rPr>
                <w:sz w:val="22"/>
                <w:szCs w:val="22"/>
              </w:rPr>
              <w:t>Achievement and Progress</w:t>
            </w:r>
          </w:p>
        </w:tc>
      </w:tr>
      <w:tr w:rsidR="00D70EF6">
        <w:trPr>
          <w:trHeight w:val="1898"/>
        </w:trPr>
        <w:tc>
          <w:tcPr>
            <w:tcW w:w="10885" w:type="dxa"/>
          </w:tcPr>
          <w:p w:rsidR="00D70EF6" w:rsidRDefault="002B04E2">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University of Fallujah adopts an integrated academic information management system as a fundamental part of its commitment to comprehensive quality standards. Institutional decision-making is supported through a unified information system that interco</w:t>
            </w:r>
            <w:r>
              <w:rPr>
                <w:rFonts w:ascii="Times New Roman" w:eastAsia="Times New Roman" w:hAnsi="Times New Roman" w:cs="Times New Roman"/>
                <w:sz w:val="22"/>
                <w:szCs w:val="22"/>
              </w:rPr>
              <w:t>nnects data across the university's main units, including the Deanship of Admissions and Registration, academic units, planning and studies units, and the Quality Assurance Unit.</w:t>
            </w:r>
          </w:p>
          <w:p w:rsidR="00D70EF6" w:rsidRDefault="002B04E2">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university maintains comprehensive databases tracking vital academic indi</w:t>
            </w:r>
            <w:r>
              <w:rPr>
                <w:rFonts w:ascii="Times New Roman" w:eastAsia="Times New Roman" w:hAnsi="Times New Roman" w:cs="Times New Roman"/>
                <w:sz w:val="22"/>
                <w:szCs w:val="22"/>
              </w:rPr>
              <w:t>cators such as:</w:t>
            </w:r>
          </w:p>
          <w:p w:rsidR="00D70EF6" w:rsidRDefault="002B04E2">
            <w:pPr>
              <w:numPr>
                <w:ilvl w:val="0"/>
                <w:numId w:val="2"/>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Student population trends and gender representation ratios</w:t>
            </w:r>
          </w:p>
          <w:p w:rsidR="00D70EF6" w:rsidRDefault="002B04E2">
            <w:pPr>
              <w:numPr>
                <w:ilvl w:val="0"/>
                <w:numId w:val="2"/>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Educational performance indicators (success and failure rates)</w:t>
            </w:r>
          </w:p>
          <w:p w:rsidR="00D70EF6" w:rsidRDefault="002B04E2">
            <w:pPr>
              <w:numPr>
                <w:ilvl w:val="0"/>
                <w:numId w:val="2"/>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Participation rates in academic activities and assessments</w:t>
            </w:r>
          </w:p>
          <w:p w:rsidR="00D70EF6" w:rsidRDefault="002B04E2">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university adheres to a sustainable improvement model b</w:t>
            </w:r>
            <w:r>
              <w:rPr>
                <w:rFonts w:ascii="Times New Roman" w:eastAsia="Times New Roman" w:hAnsi="Times New Roman" w:cs="Times New Roman"/>
                <w:sz w:val="22"/>
                <w:szCs w:val="22"/>
              </w:rPr>
              <w:t>ased on periodic data analysis, gathering feedback through:</w:t>
            </w:r>
          </w:p>
          <w:p w:rsidR="00D70EF6" w:rsidRDefault="002B04E2">
            <w:pPr>
              <w:numPr>
                <w:ilvl w:val="0"/>
                <w:numId w:val="3"/>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Institutional student evaluation channels</w:t>
            </w:r>
          </w:p>
          <w:p w:rsidR="00D70EF6" w:rsidRDefault="002B04E2">
            <w:pPr>
              <w:numPr>
                <w:ilvl w:val="0"/>
                <w:numId w:val="3"/>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Reports from quality and academic performance units</w:t>
            </w:r>
          </w:p>
          <w:p w:rsidR="00D70EF6" w:rsidRDefault="002B04E2">
            <w:pPr>
              <w:numPr>
                <w:ilvl w:val="0"/>
                <w:numId w:val="3"/>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Stakeholder opinion surveys</w:t>
            </w:r>
          </w:p>
          <w:p w:rsidR="00D70EF6" w:rsidRDefault="002B04E2">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data is transformed into practical improvement plans implemented thro</w:t>
            </w:r>
            <w:r>
              <w:rPr>
                <w:rFonts w:ascii="Times New Roman" w:eastAsia="Times New Roman" w:hAnsi="Times New Roman" w:cs="Times New Roman"/>
                <w:sz w:val="22"/>
                <w:szCs w:val="22"/>
              </w:rPr>
              <w:t>ugh:</w:t>
            </w:r>
          </w:p>
          <w:p w:rsidR="00D70EF6" w:rsidRDefault="002B04E2">
            <w:pPr>
              <w:numPr>
                <w:ilvl w:val="0"/>
                <w:numId w:val="4"/>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Development of academic programs</w:t>
            </w:r>
          </w:p>
          <w:p w:rsidR="00D70EF6" w:rsidRDefault="002B04E2">
            <w:pPr>
              <w:numPr>
                <w:ilvl w:val="0"/>
                <w:numId w:val="4"/>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Enhancement of student services</w:t>
            </w:r>
          </w:p>
          <w:p w:rsidR="00D70EF6" w:rsidRDefault="002B04E2">
            <w:pPr>
              <w:numPr>
                <w:ilvl w:val="0"/>
                <w:numId w:val="4"/>
              </w:num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Improvement of the learning environment</w:t>
            </w:r>
          </w:p>
          <w:p w:rsidR="00D70EF6" w:rsidRDefault="002B04E2">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university believes that effective information management represents the cornerstone of achieving its vision of providing quality education, ensuring transparency, and promoting a culture of continuous development that places the student at the heart o</w:t>
            </w:r>
            <w:r>
              <w:rPr>
                <w:rFonts w:ascii="Times New Roman" w:eastAsia="Times New Roman" w:hAnsi="Times New Roman" w:cs="Times New Roman"/>
                <w:sz w:val="22"/>
                <w:szCs w:val="22"/>
              </w:rPr>
              <w:t>f institutional priorities.</w:t>
            </w:r>
          </w:p>
          <w:p w:rsidR="00D70EF6" w:rsidRDefault="002B04E2">
            <w:pPr>
              <w:spacing w:line="276" w:lineRule="auto"/>
              <w:jc w:val="both"/>
              <w:rPr>
                <w:sz w:val="22"/>
                <w:szCs w:val="22"/>
              </w:rPr>
            </w:pPr>
            <w:r>
              <w:t xml:space="preserve"> </w:t>
            </w:r>
          </w:p>
          <w:p w:rsidR="00D70EF6" w:rsidRDefault="002B04E2">
            <w:pPr>
              <w:spacing w:line="276" w:lineRule="auto"/>
              <w:jc w:val="center"/>
              <w:rPr>
                <w:sz w:val="22"/>
                <w:szCs w:val="22"/>
              </w:rPr>
            </w:pPr>
            <w:r>
              <w:rPr>
                <w:b/>
                <w:bCs/>
                <w:noProof/>
                <w:color w:val="000000"/>
                <w:sz w:val="28"/>
                <w:szCs w:val="28"/>
                <w:lang w:val="en-US"/>
              </w:rPr>
              <w:drawing>
                <wp:inline distT="0" distB="0" distL="0" distR="0">
                  <wp:extent cx="5971543" cy="4062758"/>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5971543" cy="4062758"/>
                          </a:xfrm>
                          <a:prstGeom prst="rect">
                            <a:avLst/>
                          </a:prstGeom>
                          <a:ln/>
                        </pic:spPr>
                      </pic:pic>
                    </a:graphicData>
                  </a:graphic>
                </wp:inline>
              </w:drawing>
            </w:r>
          </w:p>
        </w:tc>
      </w:tr>
    </w:tbl>
    <w:p w:rsidR="00D70EF6" w:rsidRDefault="00D70EF6">
      <w:pPr>
        <w:spacing w:after="0" w:line="240" w:lineRule="auto"/>
        <w:jc w:val="center"/>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2B04E2">
      <w:pPr>
        <w:spacing w:after="0" w:line="240" w:lineRule="auto"/>
        <w:jc w:val="both"/>
        <w:rPr>
          <w:sz w:val="22"/>
          <w:szCs w:val="22"/>
        </w:rPr>
      </w:pPr>
      <w:r>
        <w:rPr>
          <w:sz w:val="22"/>
          <w:szCs w:val="22"/>
        </w:rPr>
        <w:t>2.1.8  Standard 8</w:t>
      </w:r>
    </w:p>
    <w:p w:rsidR="00D70EF6" w:rsidRDefault="002B04E2">
      <w:pPr>
        <w:spacing w:before="120" w:after="120" w:line="240" w:lineRule="auto"/>
        <w:rPr>
          <w:b/>
          <w:bCs/>
          <w:smallCaps/>
          <w:color w:val="C62324"/>
          <w:sz w:val="24"/>
          <w:szCs w:val="24"/>
        </w:rPr>
      </w:pPr>
      <w:r>
        <w:rPr>
          <w:b/>
          <w:bCs/>
          <w:smallCaps/>
          <w:color w:val="C62324"/>
          <w:sz w:val="24"/>
          <w:szCs w:val="24"/>
        </w:rPr>
        <w:t>Public information</w:t>
      </w:r>
    </w:p>
    <w:tbl>
      <w:tblPr>
        <w:tblStyle w:val="aff0"/>
        <w:tblW w:w="10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D70EF6">
        <w:tc>
          <w:tcPr>
            <w:tcW w:w="10885" w:type="dxa"/>
            <w:shd w:val="clear" w:color="auto" w:fill="D9D9D9"/>
          </w:tcPr>
          <w:p w:rsidR="00D70EF6" w:rsidRDefault="002B04E2">
            <w:pPr>
              <w:jc w:val="both"/>
              <w:rPr>
                <w:sz w:val="22"/>
                <w:szCs w:val="22"/>
              </w:rPr>
            </w:pPr>
            <w:r>
              <w:rPr>
                <w:sz w:val="22"/>
                <w:szCs w:val="22"/>
              </w:rPr>
              <w:lastRenderedPageBreak/>
              <w:t>Achievement and Progress</w:t>
            </w:r>
          </w:p>
        </w:tc>
      </w:tr>
      <w:tr w:rsidR="00D70EF6">
        <w:trPr>
          <w:trHeight w:val="1898"/>
        </w:trPr>
        <w:tc>
          <w:tcPr>
            <w:tcW w:w="10885" w:type="dxa"/>
          </w:tcPr>
          <w:p w:rsidR="00D70EF6" w:rsidRDefault="002B04E2">
            <w:pPr>
              <w:tabs>
                <w:tab w:val="left" w:pos="3180"/>
              </w:tabs>
              <w:rPr>
                <w:sz w:val="28"/>
                <w:szCs w:val="28"/>
              </w:rPr>
            </w:pPr>
            <w:r>
              <w:rPr>
                <w:sz w:val="28"/>
                <w:szCs w:val="28"/>
              </w:rPr>
              <w:t>Links to Bologna Process Guidelines</w:t>
            </w:r>
          </w:p>
          <w:p w:rsidR="00D70EF6" w:rsidRDefault="002B04E2">
            <w:pPr>
              <w:numPr>
                <w:ilvl w:val="0"/>
                <w:numId w:val="18"/>
              </w:numPr>
              <w:pBdr>
                <w:top w:val="nil"/>
                <w:left w:val="nil"/>
                <w:bottom w:val="nil"/>
                <w:right w:val="nil"/>
                <w:between w:val="nil"/>
              </w:pBdr>
              <w:tabs>
                <w:tab w:val="left" w:pos="1402"/>
              </w:tabs>
              <w:spacing w:line="360" w:lineRule="auto"/>
              <w:jc w:val="both"/>
              <w:rPr>
                <w:color w:val="000000"/>
                <w:sz w:val="22"/>
                <w:szCs w:val="22"/>
              </w:rPr>
            </w:pPr>
            <w:hyperlink r:id="rId24">
              <w:r>
                <w:rPr>
                  <w:color w:val="0D2E46"/>
                  <w:sz w:val="22"/>
                  <w:szCs w:val="22"/>
                  <w:u w:val="single"/>
                </w:rPr>
                <w:t>https://www.uofallujah.edu.iq/</w:t>
              </w:r>
            </w:hyperlink>
            <w:r>
              <w:rPr>
                <w:color w:val="000000"/>
                <w:sz w:val="22"/>
                <w:szCs w:val="22"/>
              </w:rPr>
              <w:t xml:space="preserve"> </w:t>
            </w:r>
          </w:p>
          <w:p w:rsidR="00D70EF6" w:rsidRDefault="002B04E2">
            <w:pPr>
              <w:numPr>
                <w:ilvl w:val="0"/>
                <w:numId w:val="18"/>
              </w:numPr>
              <w:pBdr>
                <w:top w:val="nil"/>
                <w:left w:val="nil"/>
                <w:bottom w:val="nil"/>
                <w:right w:val="nil"/>
                <w:between w:val="nil"/>
              </w:pBdr>
              <w:tabs>
                <w:tab w:val="left" w:pos="1402"/>
              </w:tabs>
              <w:spacing w:line="360" w:lineRule="auto"/>
              <w:jc w:val="both"/>
              <w:rPr>
                <w:color w:val="000000"/>
                <w:sz w:val="22"/>
                <w:szCs w:val="22"/>
              </w:rPr>
            </w:pPr>
            <w:hyperlink r:id="rId25">
              <w:r>
                <w:rPr>
                  <w:color w:val="0D2E46"/>
                  <w:sz w:val="22"/>
                  <w:szCs w:val="22"/>
                  <w:u w:val="single"/>
                </w:rPr>
                <w:t>https://www.uofallujah.edu.iq/en/c-college-administration-and-economics</w:t>
              </w:r>
            </w:hyperlink>
            <w:r>
              <w:rPr>
                <w:color w:val="000000"/>
                <w:sz w:val="22"/>
                <w:szCs w:val="22"/>
              </w:rPr>
              <w:t xml:space="preserve"> </w:t>
            </w:r>
          </w:p>
          <w:p w:rsidR="00D70EF6" w:rsidRDefault="002B04E2">
            <w:pPr>
              <w:numPr>
                <w:ilvl w:val="0"/>
                <w:numId w:val="18"/>
              </w:numPr>
              <w:pBdr>
                <w:top w:val="nil"/>
                <w:left w:val="nil"/>
                <w:bottom w:val="nil"/>
                <w:right w:val="nil"/>
                <w:between w:val="nil"/>
              </w:pBdr>
              <w:tabs>
                <w:tab w:val="left" w:pos="1402"/>
              </w:tabs>
              <w:spacing w:line="360" w:lineRule="auto"/>
              <w:jc w:val="both"/>
              <w:rPr>
                <w:color w:val="000000"/>
                <w:sz w:val="22"/>
                <w:szCs w:val="22"/>
              </w:rPr>
            </w:pPr>
            <w:hyperlink r:id="rId26">
              <w:r>
                <w:rPr>
                  <w:color w:val="0D2E46"/>
                  <w:sz w:val="22"/>
                  <w:szCs w:val="22"/>
                  <w:u w:val="single"/>
                </w:rPr>
                <w:t>https://www.uofalluja</w:t>
              </w:r>
              <w:r>
                <w:rPr>
                  <w:color w:val="0D2E46"/>
                  <w:sz w:val="22"/>
                  <w:szCs w:val="22"/>
                  <w:u w:val="single"/>
                </w:rPr>
                <w:t>h.edu.iq/en/c-college-veterinary</w:t>
              </w:r>
            </w:hyperlink>
            <w:r>
              <w:rPr>
                <w:color w:val="000000"/>
                <w:sz w:val="22"/>
                <w:szCs w:val="22"/>
              </w:rPr>
              <w:t xml:space="preserve"> </w:t>
            </w:r>
          </w:p>
          <w:p w:rsidR="00D70EF6" w:rsidRDefault="002B04E2">
            <w:pPr>
              <w:numPr>
                <w:ilvl w:val="0"/>
                <w:numId w:val="18"/>
              </w:numPr>
              <w:pBdr>
                <w:top w:val="nil"/>
                <w:left w:val="nil"/>
                <w:bottom w:val="nil"/>
                <w:right w:val="nil"/>
                <w:between w:val="nil"/>
              </w:pBdr>
              <w:tabs>
                <w:tab w:val="left" w:pos="1402"/>
              </w:tabs>
              <w:spacing w:after="200" w:line="360" w:lineRule="auto"/>
              <w:jc w:val="both"/>
              <w:rPr>
                <w:color w:val="000000"/>
                <w:sz w:val="22"/>
                <w:szCs w:val="22"/>
              </w:rPr>
            </w:pPr>
            <w:r>
              <w:rPr>
                <w:color w:val="000000"/>
                <w:sz w:val="22"/>
                <w:szCs w:val="22"/>
              </w:rPr>
              <w:t>https://www.uofallujah.edu.iq/en/c-college-applied-sciences</w:t>
            </w:r>
          </w:p>
        </w:tc>
      </w:tr>
    </w:tbl>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2B04E2">
      <w:pPr>
        <w:spacing w:after="0" w:line="240" w:lineRule="auto"/>
        <w:jc w:val="both"/>
        <w:rPr>
          <w:sz w:val="22"/>
          <w:szCs w:val="22"/>
        </w:rPr>
      </w:pPr>
      <w:r>
        <w:rPr>
          <w:sz w:val="22"/>
          <w:szCs w:val="22"/>
        </w:rPr>
        <w:t>2.1.9  Standard 9</w:t>
      </w:r>
    </w:p>
    <w:p w:rsidR="00D70EF6" w:rsidRDefault="002B04E2">
      <w:pPr>
        <w:spacing w:before="120" w:after="120" w:line="240" w:lineRule="auto"/>
        <w:rPr>
          <w:b/>
          <w:bCs/>
          <w:smallCaps/>
          <w:color w:val="C62324"/>
          <w:sz w:val="24"/>
          <w:szCs w:val="24"/>
        </w:rPr>
      </w:pPr>
      <w:r>
        <w:rPr>
          <w:b/>
          <w:bCs/>
          <w:smallCaps/>
          <w:color w:val="C62324"/>
          <w:sz w:val="24"/>
          <w:szCs w:val="24"/>
        </w:rPr>
        <w:t>On-going monitoring and periodic review of programmes</w:t>
      </w:r>
    </w:p>
    <w:tbl>
      <w:tblPr>
        <w:tblStyle w:val="aff1"/>
        <w:tblW w:w="10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D70EF6">
        <w:tc>
          <w:tcPr>
            <w:tcW w:w="10885" w:type="dxa"/>
            <w:shd w:val="clear" w:color="auto" w:fill="D9D9D9"/>
          </w:tcPr>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Achievement and Progress</w:t>
            </w:r>
          </w:p>
        </w:tc>
      </w:tr>
      <w:tr w:rsidR="00D70EF6">
        <w:trPr>
          <w:trHeight w:val="1898"/>
        </w:trPr>
        <w:tc>
          <w:tcPr>
            <w:tcW w:w="10885" w:type="dxa"/>
          </w:tcPr>
          <w:p w:rsidR="00D70EF6" w:rsidRDefault="00D70EF6">
            <w:pPr>
              <w:jc w:val="both"/>
              <w:rPr>
                <w:rFonts w:ascii="Times New Roman" w:eastAsia="Times New Roman" w:hAnsi="Times New Roman" w:cs="Times New Roman"/>
                <w:sz w:val="22"/>
                <w:szCs w:val="22"/>
              </w:rPr>
            </w:pP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Changing Community Needs:</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review educational institutions' programs and learning outcomes in line with changing community needs, a comprehensive and systematic approach must be adopted that ensures continuous evaluation and development based on effective data and analysis. This </w:t>
            </w:r>
            <w:r>
              <w:rPr>
                <w:rFonts w:ascii="Times New Roman" w:eastAsia="Times New Roman" w:hAnsi="Times New Roman" w:cs="Times New Roman"/>
                <w:sz w:val="28"/>
                <w:szCs w:val="28"/>
              </w:rPr>
              <w:t>is accomplished by following the following steps:</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First: Form a review and development committee consisting of faculty members, student and employer representatives, and community experts. The committee's goal is to analyze the current situation and make r</w:t>
            </w:r>
            <w:r>
              <w:rPr>
                <w:rFonts w:ascii="Times New Roman" w:eastAsia="Times New Roman" w:hAnsi="Times New Roman" w:cs="Times New Roman"/>
                <w:sz w:val="28"/>
                <w:szCs w:val="28"/>
              </w:rPr>
              <w:t>ecommendations for improvement.</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Second: Analyze the environment and community needs through:</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Study the labor market:</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Analyze current and future job demands.</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Identifying the skills employers are looking for</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Communicating with the local community</w:t>
            </w:r>
            <w:r>
              <w:rPr>
                <w:rFonts w:ascii="Times New Roman" w:eastAsia="Times New Roman" w:hAnsi="Times New Roman" w:cs="Times New Roman"/>
                <w:sz w:val="28"/>
                <w:szCs w:val="28"/>
              </w:rPr>
              <w:t xml:space="preserve"> and stakeholders:</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conducting interviews, surveys, and interviews with employers, graduates, government agencies, and civil society organizations</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Evaluating current programs and outcomes:</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Analyzing the extent to which learning outcomes match current </w:t>
            </w:r>
            <w:r>
              <w:rPr>
                <w:rFonts w:ascii="Times New Roman" w:eastAsia="Times New Roman" w:hAnsi="Times New Roman" w:cs="Times New Roman"/>
                <w:sz w:val="28"/>
                <w:szCs w:val="28"/>
              </w:rPr>
              <w:t>needs through student academic performance evaluations and surveys of graduate and employer opinions</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Updating programs and learning outcomes:</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modifying curricula and courses, introducing new modules, and integrating practical and community-based lear</w:t>
            </w:r>
            <w:r>
              <w:rPr>
                <w:rFonts w:ascii="Times New Roman" w:eastAsia="Times New Roman" w:hAnsi="Times New Roman" w:cs="Times New Roman"/>
                <w:sz w:val="28"/>
                <w:szCs w:val="28"/>
              </w:rPr>
              <w:t>ning through field training and community-based projects</w:t>
            </w:r>
          </w:p>
          <w:p w:rsidR="00D70EF6" w:rsidRDefault="002B04E2">
            <w:pPr>
              <w:tabs>
                <w:tab w:val="left" w:pos="318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Establishing a continuous monitoring and evaluation mechanism:</w:t>
            </w: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sz w:val="28"/>
                <w:szCs w:val="28"/>
              </w:rPr>
              <w:t>By developing a periodic review plan and using key performance indicators such as graduate employment rates and employer satisfaction levels</w:t>
            </w:r>
            <w:r>
              <w:rPr>
                <w:rFonts w:ascii="Times New Roman" w:eastAsia="Times New Roman" w:hAnsi="Times New Roman" w:cs="Times New Roman"/>
                <w:sz w:val="22"/>
                <w:szCs w:val="22"/>
              </w:rPr>
              <w:t xml:space="preserve"> </w:t>
            </w:r>
          </w:p>
        </w:tc>
      </w:tr>
    </w:tbl>
    <w:p w:rsidR="00D70EF6" w:rsidRDefault="00D70EF6">
      <w:pPr>
        <w:spacing w:after="0" w:line="240" w:lineRule="auto"/>
        <w:jc w:val="both"/>
        <w:rPr>
          <w:sz w:val="22"/>
          <w:szCs w:val="22"/>
        </w:rPr>
      </w:pPr>
    </w:p>
    <w:p w:rsidR="00D70EF6" w:rsidRDefault="002B04E2">
      <w:pPr>
        <w:spacing w:after="0" w:line="240" w:lineRule="auto"/>
        <w:jc w:val="both"/>
        <w:rPr>
          <w:sz w:val="22"/>
          <w:szCs w:val="22"/>
        </w:rPr>
      </w:pPr>
      <w:r>
        <w:rPr>
          <w:sz w:val="22"/>
          <w:szCs w:val="22"/>
        </w:rPr>
        <w:t>2.1.10  Standard 10</w:t>
      </w:r>
    </w:p>
    <w:p w:rsidR="00D70EF6" w:rsidRDefault="002B04E2">
      <w:pPr>
        <w:spacing w:before="120" w:after="120" w:line="240" w:lineRule="auto"/>
        <w:rPr>
          <w:b/>
          <w:bCs/>
          <w:smallCaps/>
          <w:color w:val="C62324"/>
          <w:sz w:val="24"/>
          <w:szCs w:val="24"/>
        </w:rPr>
      </w:pPr>
      <w:r>
        <w:rPr>
          <w:b/>
          <w:bCs/>
          <w:smallCaps/>
          <w:color w:val="C62324"/>
          <w:sz w:val="24"/>
          <w:szCs w:val="24"/>
        </w:rPr>
        <w:t>Cyclical external quality assurance</w:t>
      </w:r>
    </w:p>
    <w:tbl>
      <w:tblPr>
        <w:tblStyle w:val="aff2"/>
        <w:tblW w:w="10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D70EF6">
        <w:tc>
          <w:tcPr>
            <w:tcW w:w="10885" w:type="dxa"/>
            <w:shd w:val="clear" w:color="auto" w:fill="D9D9D9"/>
          </w:tcPr>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Achievement and Progress</w:t>
            </w:r>
          </w:p>
        </w:tc>
      </w:tr>
      <w:tr w:rsidR="00D70EF6">
        <w:trPr>
          <w:trHeight w:val="1943"/>
        </w:trPr>
        <w:tc>
          <w:tcPr>
            <w:tcW w:w="10885" w:type="dxa"/>
          </w:tcPr>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University believes that preparedness for external evaluation reflects its </w:t>
            </w:r>
            <w:r>
              <w:rPr>
                <w:rFonts w:ascii="Times New Roman" w:eastAsia="Times New Roman" w:hAnsi="Times New Roman" w:cs="Times New Roman"/>
                <w:b/>
                <w:bCs/>
                <w:sz w:val="22"/>
                <w:szCs w:val="22"/>
              </w:rPr>
              <w:t>comprehensive institutional maturity</w:t>
            </w:r>
            <w:r>
              <w:rPr>
                <w:rFonts w:ascii="Times New Roman" w:eastAsia="Times New Roman" w:hAnsi="Times New Roman" w:cs="Times New Roman"/>
                <w:sz w:val="22"/>
                <w:szCs w:val="22"/>
              </w:rPr>
              <w:t>, not merely the fulfillment of structural requirements.</w:t>
            </w:r>
          </w:p>
          <w:p w:rsidR="00D70EF6" w:rsidRDefault="002B04E2">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Key Preparedness Pillars:</w:t>
            </w: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First: Administrative and Organizational Preparedness</w:t>
            </w:r>
          </w:p>
          <w:p w:rsidR="00D70EF6" w:rsidRDefault="002B04E2">
            <w:pPr>
              <w:numPr>
                <w:ilvl w:val="0"/>
                <w:numId w:val="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Availability of clear and approved institutional documents and policies.</w:t>
            </w:r>
          </w:p>
          <w:p w:rsidR="00D70EF6" w:rsidRDefault="002B04E2">
            <w:pPr>
              <w:numPr>
                <w:ilvl w:val="0"/>
                <w:numId w:val="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Provision of periodic reports and self-assessment documentation.</w:t>
            </w: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Second: Human Preparedness</w:t>
            </w:r>
          </w:p>
          <w:p w:rsidR="00D70EF6" w:rsidRDefault="002B04E2">
            <w:pPr>
              <w:numPr>
                <w:ilvl w:val="0"/>
                <w:numId w:val="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Awareness among staff and students regarding the importance of evaluation.</w:t>
            </w:r>
          </w:p>
          <w:p w:rsidR="00D70EF6" w:rsidRDefault="002B04E2">
            <w:pPr>
              <w:numPr>
                <w:ilvl w:val="0"/>
                <w:numId w:val="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Engagement of ex</w:t>
            </w:r>
            <w:r>
              <w:rPr>
                <w:rFonts w:ascii="Times New Roman" w:eastAsia="Times New Roman" w:hAnsi="Times New Roman" w:cs="Times New Roman"/>
                <w:sz w:val="22"/>
                <w:szCs w:val="22"/>
              </w:rPr>
              <w:t>ternal stakeholders in curriculum committees.</w:t>
            </w: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Third: Academic Preparedness</w:t>
            </w:r>
          </w:p>
          <w:p w:rsidR="00D70EF6" w:rsidRDefault="002B04E2">
            <w:pPr>
              <w:numPr>
                <w:ilvl w:val="0"/>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Study programs aligned with labor market needs and the Bologna system.</w:t>
            </w:r>
          </w:p>
          <w:p w:rsidR="00D70EF6" w:rsidRDefault="002B04E2">
            <w:pPr>
              <w:numPr>
                <w:ilvl w:val="0"/>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diversified and fair student assessment system.</w:t>
            </w: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Fourth: Technical and Infrastructure Preparedness</w:t>
            </w:r>
          </w:p>
          <w:p w:rsidR="00D70EF6" w:rsidRDefault="002B04E2">
            <w:pPr>
              <w:numPr>
                <w:ilvl w:val="0"/>
                <w:numId w:val="8"/>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Fully equipped educational facilities (classrooms, laboratories, library).</w:t>
            </w:r>
          </w:p>
          <w:p w:rsidR="00D70EF6" w:rsidRDefault="002B04E2">
            <w:pPr>
              <w:numPr>
                <w:ilvl w:val="0"/>
                <w:numId w:val="8"/>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Integrated digital systems (learning management systems, administrative systems).</w:t>
            </w:r>
          </w:p>
          <w:p w:rsidR="00D70EF6" w:rsidRDefault="002B04E2">
            <w:pPr>
              <w:numPr>
                <w:ilvl w:val="0"/>
                <w:numId w:val="8"/>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Secure network infrastructure and distance learning technologies.</w:t>
            </w:r>
          </w:p>
          <w:p w:rsidR="00D70EF6" w:rsidRDefault="002B04E2">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Monitoring and Improvement Mechan</w:t>
            </w:r>
            <w:r>
              <w:rPr>
                <w:rFonts w:ascii="Times New Roman" w:eastAsia="Times New Roman" w:hAnsi="Times New Roman" w:cs="Times New Roman"/>
                <w:b/>
                <w:bCs/>
                <w:sz w:val="22"/>
                <w:szCs w:val="22"/>
              </w:rPr>
              <w:t>isms:</w:t>
            </w: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Implementation of Evaluation Feedback:</w:t>
            </w:r>
          </w:p>
          <w:p w:rsidR="00D70EF6" w:rsidRDefault="002B04E2">
            <w:pPr>
              <w:numPr>
                <w:ilvl w:val="0"/>
                <w:numId w:val="9"/>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clear mechanism for receiving and analyzing external evaluators’ recommendations.</w:t>
            </w:r>
          </w:p>
          <w:p w:rsidR="00D70EF6" w:rsidRDefault="002B04E2">
            <w:pPr>
              <w:numPr>
                <w:ilvl w:val="0"/>
                <w:numId w:val="9"/>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Integration of recommendations into continuous improvement plans.</w:t>
            </w: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Documentation and Support:</w:t>
            </w:r>
          </w:p>
          <w:p w:rsidR="00D70EF6" w:rsidRDefault="002B04E2">
            <w:pPr>
              <w:numPr>
                <w:ilvl w:val="0"/>
                <w:numId w:val="10"/>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Systematic organization and archiv</w:t>
            </w:r>
            <w:r>
              <w:rPr>
                <w:rFonts w:ascii="Times New Roman" w:eastAsia="Times New Roman" w:hAnsi="Times New Roman" w:cs="Times New Roman"/>
                <w:sz w:val="22"/>
                <w:szCs w:val="22"/>
              </w:rPr>
              <w:t>ing of all documents (electronically and physically).</w:t>
            </w:r>
          </w:p>
          <w:p w:rsidR="00D70EF6" w:rsidRDefault="002B04E2">
            <w:pPr>
              <w:numPr>
                <w:ilvl w:val="0"/>
                <w:numId w:val="10"/>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Provision of logistical and technical support for evaluation teams.</w:t>
            </w:r>
          </w:p>
          <w:p w:rsidR="00D70EF6" w:rsidRDefault="002B04E2">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University Commitment:</w:t>
            </w:r>
          </w:p>
          <w:p w:rsidR="00D70EF6" w:rsidRDefault="002B04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framework reflects the University’s commitment to continuous improvement, ensuring the quality of its acad</w:t>
            </w:r>
            <w:r>
              <w:rPr>
                <w:rFonts w:ascii="Times New Roman" w:eastAsia="Times New Roman" w:hAnsi="Times New Roman" w:cs="Times New Roman"/>
                <w:sz w:val="22"/>
                <w:szCs w:val="22"/>
              </w:rPr>
              <w:t>emic outputs, and meeting local and international accreditation requirements, with the aim of preparing qualified graduates who fulfill the needs of both society and the labor market.</w:t>
            </w:r>
          </w:p>
          <w:p w:rsidR="00D70EF6" w:rsidRDefault="00D70EF6">
            <w:pPr>
              <w:jc w:val="both"/>
              <w:rPr>
                <w:rFonts w:ascii="Times New Roman" w:eastAsia="Times New Roman" w:hAnsi="Times New Roman" w:cs="Times New Roman"/>
                <w:sz w:val="22"/>
                <w:szCs w:val="22"/>
              </w:rPr>
            </w:pPr>
          </w:p>
        </w:tc>
      </w:tr>
    </w:tbl>
    <w:p w:rsidR="00D70EF6" w:rsidRDefault="00D70EF6">
      <w:pPr>
        <w:spacing w:after="0" w:line="240" w:lineRule="auto"/>
        <w:jc w:val="both"/>
        <w:rPr>
          <w:sz w:val="22"/>
          <w:szCs w:val="22"/>
        </w:rPr>
      </w:pPr>
    </w:p>
    <w:p w:rsidR="00D70EF6" w:rsidRDefault="00D70EF6">
      <w:pPr>
        <w:spacing w:after="0" w:line="240" w:lineRule="auto"/>
        <w:jc w:val="both"/>
        <w:rPr>
          <w:sz w:val="22"/>
          <w:szCs w:val="22"/>
        </w:rPr>
      </w:pPr>
    </w:p>
    <w:p w:rsidR="00D70EF6" w:rsidRDefault="002B04E2">
      <w:pPr>
        <w:numPr>
          <w:ilvl w:val="1"/>
          <w:numId w:val="12"/>
        </w:numPr>
        <w:pBdr>
          <w:top w:val="single" w:sz="4" w:space="1" w:color="000000"/>
          <w:left w:val="single" w:sz="4" w:space="4" w:color="000000"/>
          <w:bottom w:val="single" w:sz="4" w:space="1" w:color="000000"/>
          <w:right w:val="single" w:sz="4" w:space="4" w:color="000000"/>
          <w:between w:val="nil"/>
        </w:pBdr>
        <w:shd w:val="clear" w:color="auto" w:fill="D9D9D9"/>
        <w:spacing w:before="80" w:line="360" w:lineRule="auto"/>
        <w:ind w:left="450" w:hanging="450"/>
        <w:rPr>
          <w:b/>
          <w:bCs/>
          <w:color w:val="000000"/>
        </w:rPr>
      </w:pPr>
      <w:r>
        <w:rPr>
          <w:b/>
          <w:bCs/>
          <w:color w:val="000000"/>
        </w:rPr>
        <w:lastRenderedPageBreak/>
        <w:t>General statistics on Student achievement, marks and grade</w:t>
      </w:r>
    </w:p>
    <w:tbl>
      <w:tblPr>
        <w:tblStyle w:val="aff3"/>
        <w:tblW w:w="10980"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D70EF6">
        <w:tc>
          <w:tcPr>
            <w:tcW w:w="10980" w:type="dxa"/>
            <w:shd w:val="clear" w:color="auto" w:fill="D9D9D9"/>
          </w:tcPr>
          <w:p w:rsidR="00D70EF6" w:rsidRDefault="002B04E2">
            <w:pPr>
              <w:jc w:val="both"/>
              <w:rPr>
                <w:sz w:val="22"/>
                <w:szCs w:val="22"/>
              </w:rPr>
            </w:pPr>
            <w:r>
              <w:rPr>
                <w:sz w:val="22"/>
                <w:szCs w:val="22"/>
              </w:rPr>
              <w:t>Achievement and Progress</w:t>
            </w:r>
          </w:p>
        </w:tc>
      </w:tr>
      <w:tr w:rsidR="00D70EF6">
        <w:trPr>
          <w:trHeight w:val="1898"/>
        </w:trPr>
        <w:tc>
          <w:tcPr>
            <w:tcW w:w="10980" w:type="dxa"/>
          </w:tcPr>
          <w:p w:rsidR="00D70EF6" w:rsidRDefault="00D70EF6">
            <w:pPr>
              <w:spacing w:line="276" w:lineRule="auto"/>
              <w:rPr>
                <w:sz w:val="22"/>
                <w:szCs w:val="22"/>
              </w:rPr>
            </w:pPr>
          </w:p>
          <w:p w:rsidR="00D70EF6" w:rsidRDefault="002B04E2">
            <w:pPr>
              <w:jc w:val="both"/>
              <w:rPr>
                <w:rFonts w:ascii="Calibri" w:eastAsia="Calibri" w:hAnsi="Calibri" w:cs="Calibri"/>
                <w:sz w:val="24"/>
                <w:szCs w:val="24"/>
              </w:rPr>
            </w:pPr>
            <w:r>
              <w:rPr>
                <w:noProof/>
                <w:lang w:val="en-US"/>
              </w:rPr>
              <w:drawing>
                <wp:inline distT="0" distB="0" distL="0" distR="0">
                  <wp:extent cx="2933700" cy="2743200"/>
                  <wp:effectExtent l="0" t="0" r="0" b="0"/>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val="en-US"/>
              </w:rPr>
              <w:drawing>
                <wp:inline distT="0" distB="0" distL="0" distR="0">
                  <wp:extent cx="3048000" cy="2743200"/>
                  <wp:effectExtent l="0" t="0" r="0" b="0"/>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70EF6" w:rsidRDefault="00D70EF6">
            <w:pPr>
              <w:jc w:val="both"/>
              <w:rPr>
                <w:sz w:val="22"/>
                <w:szCs w:val="22"/>
              </w:rPr>
            </w:pPr>
          </w:p>
          <w:p w:rsidR="00D70EF6" w:rsidRDefault="00D70EF6">
            <w:pPr>
              <w:jc w:val="both"/>
              <w:rPr>
                <w:sz w:val="22"/>
                <w:szCs w:val="22"/>
              </w:rPr>
            </w:pPr>
          </w:p>
          <w:p w:rsidR="00D70EF6" w:rsidRDefault="002B04E2">
            <w:pPr>
              <w:jc w:val="center"/>
              <w:rPr>
                <w:sz w:val="22"/>
                <w:szCs w:val="22"/>
              </w:rPr>
            </w:pPr>
            <w:r>
              <w:rPr>
                <w:noProof/>
                <w:lang w:val="en-US"/>
              </w:rPr>
              <w:drawing>
                <wp:inline distT="0" distB="0" distL="0" distR="0">
                  <wp:extent cx="3352800" cy="2743200"/>
                  <wp:effectExtent l="0" t="0" r="0" b="0"/>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0EF6" w:rsidRDefault="00D70EF6">
            <w:pPr>
              <w:jc w:val="both"/>
              <w:rPr>
                <w:sz w:val="22"/>
                <w:szCs w:val="22"/>
              </w:rPr>
            </w:pPr>
          </w:p>
          <w:p w:rsidR="00D70EF6" w:rsidRDefault="00D70EF6">
            <w:pPr>
              <w:jc w:val="center"/>
              <w:rPr>
                <w:sz w:val="22"/>
                <w:szCs w:val="22"/>
              </w:rPr>
            </w:pPr>
          </w:p>
          <w:p w:rsidR="00D70EF6" w:rsidRDefault="002B04E2">
            <w:pPr>
              <w:jc w:val="center"/>
              <w:rPr>
                <w:sz w:val="22"/>
                <w:szCs w:val="22"/>
              </w:rPr>
            </w:pPr>
            <w:r>
              <w:rPr>
                <w:noProof/>
                <w:lang w:val="en-US"/>
              </w:rPr>
              <w:lastRenderedPageBreak/>
              <w:drawing>
                <wp:inline distT="0" distB="0" distL="0" distR="0">
                  <wp:extent cx="4572000" cy="2743200"/>
                  <wp:effectExtent l="0" t="0" r="0" b="0"/>
                  <wp:docPr id="1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70EF6" w:rsidRDefault="00D70EF6">
            <w:pPr>
              <w:jc w:val="center"/>
              <w:rPr>
                <w:sz w:val="22"/>
                <w:szCs w:val="22"/>
              </w:rPr>
            </w:pPr>
          </w:p>
          <w:p w:rsidR="00D70EF6" w:rsidRDefault="00D70EF6">
            <w:pPr>
              <w:jc w:val="center"/>
              <w:rPr>
                <w:sz w:val="22"/>
                <w:szCs w:val="22"/>
              </w:rPr>
            </w:pPr>
          </w:p>
          <w:p w:rsidR="00D70EF6" w:rsidRDefault="00D70EF6">
            <w:pPr>
              <w:jc w:val="center"/>
              <w:rPr>
                <w:sz w:val="22"/>
                <w:szCs w:val="22"/>
              </w:rPr>
            </w:pPr>
          </w:p>
          <w:p w:rsidR="00D70EF6" w:rsidRDefault="00D70EF6">
            <w:pPr>
              <w:jc w:val="center"/>
              <w:rPr>
                <w:sz w:val="22"/>
                <w:szCs w:val="22"/>
              </w:rPr>
            </w:pPr>
          </w:p>
          <w:p w:rsidR="00D70EF6" w:rsidRDefault="00D70EF6">
            <w:pPr>
              <w:jc w:val="center"/>
              <w:rPr>
                <w:sz w:val="22"/>
                <w:szCs w:val="22"/>
              </w:rPr>
            </w:pPr>
          </w:p>
          <w:p w:rsidR="00D70EF6" w:rsidRDefault="00D70EF6">
            <w:pPr>
              <w:jc w:val="center"/>
              <w:rPr>
                <w:sz w:val="22"/>
                <w:szCs w:val="22"/>
              </w:rPr>
            </w:pPr>
          </w:p>
          <w:p w:rsidR="00D70EF6" w:rsidRDefault="00D70EF6">
            <w:pPr>
              <w:jc w:val="center"/>
              <w:rPr>
                <w:sz w:val="22"/>
                <w:szCs w:val="22"/>
              </w:rPr>
            </w:pPr>
          </w:p>
          <w:p w:rsidR="00D70EF6" w:rsidRDefault="00D70EF6">
            <w:pPr>
              <w:jc w:val="center"/>
              <w:rPr>
                <w:sz w:val="22"/>
                <w:szCs w:val="22"/>
              </w:rPr>
            </w:pPr>
          </w:p>
          <w:p w:rsidR="00D70EF6" w:rsidRDefault="00D70EF6">
            <w:pPr>
              <w:jc w:val="center"/>
              <w:rPr>
                <w:sz w:val="22"/>
                <w:szCs w:val="22"/>
              </w:rPr>
            </w:pPr>
          </w:p>
          <w:p w:rsidR="00D70EF6" w:rsidRDefault="00D70EF6">
            <w:pPr>
              <w:jc w:val="center"/>
              <w:rPr>
                <w:sz w:val="22"/>
                <w:szCs w:val="22"/>
              </w:rPr>
            </w:pPr>
          </w:p>
        </w:tc>
      </w:tr>
    </w:tbl>
    <w:p w:rsidR="00D70EF6" w:rsidRDefault="00D70EF6">
      <w:pPr>
        <w:spacing w:after="0" w:line="360" w:lineRule="auto"/>
        <w:jc w:val="both"/>
        <w:rPr>
          <w:sz w:val="24"/>
          <w:szCs w:val="24"/>
        </w:rPr>
      </w:pPr>
    </w:p>
    <w:p w:rsidR="00D70EF6" w:rsidRDefault="00D70EF6">
      <w:pPr>
        <w:spacing w:after="0" w:line="360" w:lineRule="auto"/>
        <w:jc w:val="both"/>
        <w:rPr>
          <w:sz w:val="24"/>
          <w:szCs w:val="24"/>
        </w:rPr>
      </w:pPr>
      <w:bookmarkStart w:id="1" w:name="_heading=h.h8a1qei6wp42" w:colFirst="0" w:colLast="0"/>
      <w:bookmarkEnd w:id="1"/>
    </w:p>
    <w:p w:rsidR="00D70EF6" w:rsidRDefault="002B04E2">
      <w:pPr>
        <w:numPr>
          <w:ilvl w:val="1"/>
          <w:numId w:val="12"/>
        </w:numPr>
        <w:pBdr>
          <w:top w:val="single" w:sz="4" w:space="1" w:color="000000"/>
          <w:left w:val="single" w:sz="4" w:space="4" w:color="000000"/>
          <w:bottom w:val="single" w:sz="4" w:space="1" w:color="000000"/>
          <w:right w:val="single" w:sz="4" w:space="4" w:color="000000"/>
          <w:between w:val="nil"/>
        </w:pBdr>
        <w:shd w:val="clear" w:color="auto" w:fill="D9D9D9"/>
        <w:spacing w:before="80" w:line="360" w:lineRule="auto"/>
        <w:ind w:left="450" w:hanging="450"/>
        <w:rPr>
          <w:b/>
          <w:bCs/>
          <w:color w:val="000000"/>
        </w:rPr>
      </w:pPr>
      <w:r>
        <w:rPr>
          <w:b/>
          <w:bCs/>
          <w:color w:val="000000"/>
        </w:rPr>
        <w:t>General statistics on research</w:t>
      </w:r>
    </w:p>
    <w:tbl>
      <w:tblPr>
        <w:tblStyle w:val="aff4"/>
        <w:tblW w:w="10790"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D70EF6">
        <w:tc>
          <w:tcPr>
            <w:tcW w:w="10790" w:type="dxa"/>
          </w:tcPr>
          <w:p w:rsidR="00D70EF6" w:rsidRDefault="00D70EF6">
            <w:pPr>
              <w:spacing w:line="360" w:lineRule="auto"/>
              <w:jc w:val="both"/>
              <w:rPr>
                <w:rFonts w:ascii="Times New Roman" w:eastAsia="Times New Roman" w:hAnsi="Times New Roman" w:cs="Times New Roman"/>
                <w:sz w:val="12"/>
                <w:szCs w:val="12"/>
              </w:rPr>
            </w:pPr>
          </w:p>
          <w:p w:rsidR="00D70EF6" w:rsidRDefault="002B04E2">
            <w:pPr>
              <w:spacing w:line="276" w:lineRule="auto"/>
              <w:jc w:val="both"/>
              <w:rPr>
                <w:rFonts w:ascii="Calibri" w:eastAsia="Calibri" w:hAnsi="Calibri" w:cs="Calibri"/>
                <w:sz w:val="24"/>
                <w:szCs w:val="24"/>
              </w:rPr>
            </w:pPr>
            <w:r>
              <w:rPr>
                <w:rFonts w:ascii="Calibri" w:eastAsia="Calibri" w:hAnsi="Calibri" w:cs="Calibri"/>
                <w:sz w:val="24"/>
                <w:szCs w:val="24"/>
              </w:rPr>
              <w:t>Total number of published research during the current academic year.</w:t>
            </w:r>
            <w:r>
              <w:rPr>
                <w:rFonts w:ascii="Calibri" w:eastAsia="Calibri" w:hAnsi="Calibri" w:cs="Calibri"/>
                <w:sz w:val="24"/>
                <w:szCs w:val="24"/>
              </w:rPr>
              <w:tab/>
              <w:t>444</w:t>
            </w:r>
          </w:p>
          <w:p w:rsidR="00D70EF6" w:rsidRDefault="002B04E2">
            <w:pPr>
              <w:spacing w:line="276" w:lineRule="auto"/>
              <w:jc w:val="both"/>
              <w:rPr>
                <w:rFonts w:ascii="Calibri" w:eastAsia="Calibri" w:hAnsi="Calibri" w:cs="Calibri"/>
                <w:sz w:val="24"/>
                <w:szCs w:val="24"/>
              </w:rPr>
            </w:pPr>
            <w:r>
              <w:rPr>
                <w:rFonts w:ascii="Calibri" w:eastAsia="Calibri" w:hAnsi="Calibri" w:cs="Calibri"/>
                <w:sz w:val="24"/>
                <w:szCs w:val="24"/>
              </w:rPr>
              <w:t>Number of published papers that belong to journal indexed by SCOPUS.</w:t>
            </w:r>
            <w:r>
              <w:rPr>
                <w:rFonts w:ascii="Calibri" w:eastAsia="Calibri" w:hAnsi="Calibri" w:cs="Calibri"/>
                <w:sz w:val="24"/>
                <w:szCs w:val="24"/>
              </w:rPr>
              <w:tab/>
              <w:t>221</w:t>
            </w:r>
          </w:p>
          <w:p w:rsidR="00D70EF6" w:rsidRDefault="002B04E2">
            <w:pPr>
              <w:spacing w:line="276" w:lineRule="auto"/>
              <w:jc w:val="both"/>
              <w:rPr>
                <w:rFonts w:ascii="Calibri" w:eastAsia="Calibri" w:hAnsi="Calibri" w:cs="Calibri"/>
                <w:sz w:val="24"/>
                <w:szCs w:val="24"/>
              </w:rPr>
            </w:pPr>
            <w:r>
              <w:rPr>
                <w:rFonts w:ascii="Calibri" w:eastAsia="Calibri" w:hAnsi="Calibri" w:cs="Calibri"/>
                <w:sz w:val="24"/>
                <w:szCs w:val="24"/>
              </w:rPr>
              <w:t>Number of published papers that belong to journal indexed by WoS Clarivate analytics.123</w:t>
            </w:r>
          </w:p>
          <w:p w:rsidR="00D70EF6" w:rsidRDefault="002B04E2">
            <w:pPr>
              <w:spacing w:line="276" w:lineRule="auto"/>
              <w:jc w:val="both"/>
              <w:rPr>
                <w:rFonts w:ascii="Calibri" w:eastAsia="Calibri" w:hAnsi="Calibri" w:cs="Calibri"/>
                <w:sz w:val="24"/>
                <w:szCs w:val="24"/>
              </w:rPr>
            </w:pPr>
            <w:r>
              <w:rPr>
                <w:rFonts w:ascii="Calibri" w:eastAsia="Calibri" w:hAnsi="Calibri" w:cs="Calibri"/>
                <w:sz w:val="24"/>
                <w:szCs w:val="24"/>
              </w:rPr>
              <w:t>Papers distribution among the Sustainable Development Goals 2023.</w:t>
            </w:r>
            <w:r>
              <w:rPr>
                <w:rFonts w:ascii="Calibri" w:eastAsia="Calibri" w:hAnsi="Calibri" w:cs="Calibri"/>
                <w:sz w:val="24"/>
                <w:szCs w:val="24"/>
              </w:rPr>
              <w:tab/>
              <w:t>150</w:t>
            </w:r>
          </w:p>
          <w:p w:rsidR="00D70EF6" w:rsidRDefault="002B04E2">
            <w:pPr>
              <w:spacing w:line="276" w:lineRule="auto"/>
              <w:jc w:val="both"/>
              <w:rPr>
                <w:rFonts w:ascii="Calibri" w:eastAsia="Calibri" w:hAnsi="Calibri" w:cs="Calibri"/>
                <w:sz w:val="24"/>
                <w:szCs w:val="24"/>
              </w:rPr>
            </w:pPr>
            <w:r>
              <w:rPr>
                <w:rFonts w:ascii="Calibri" w:eastAsia="Calibri" w:hAnsi="Calibri" w:cs="Calibri"/>
                <w:sz w:val="24"/>
                <w:szCs w:val="24"/>
              </w:rPr>
              <w:t>Papers distribution among the Multidisciplinary. 33</w:t>
            </w:r>
          </w:p>
          <w:p w:rsidR="00D70EF6" w:rsidRDefault="002B04E2">
            <w:pPr>
              <w:spacing w:line="276" w:lineRule="auto"/>
              <w:jc w:val="both"/>
              <w:rPr>
                <w:rFonts w:ascii="Calibri" w:eastAsia="Calibri" w:hAnsi="Calibri" w:cs="Calibri"/>
                <w:sz w:val="24"/>
                <w:szCs w:val="24"/>
              </w:rPr>
            </w:pPr>
            <w:r>
              <w:rPr>
                <w:rFonts w:ascii="Calibri" w:eastAsia="Calibri" w:hAnsi="Calibri" w:cs="Calibri"/>
                <w:sz w:val="24"/>
                <w:szCs w:val="24"/>
              </w:rPr>
              <w:t>Papers distribution among the engineering. 90</w:t>
            </w:r>
          </w:p>
          <w:p w:rsidR="00D70EF6" w:rsidRDefault="002B04E2">
            <w:pPr>
              <w:spacing w:line="276" w:lineRule="auto"/>
              <w:jc w:val="both"/>
              <w:rPr>
                <w:rFonts w:ascii="Calibri" w:eastAsia="Calibri" w:hAnsi="Calibri" w:cs="Calibri"/>
                <w:sz w:val="24"/>
                <w:szCs w:val="24"/>
              </w:rPr>
            </w:pPr>
            <w:r>
              <w:rPr>
                <w:rFonts w:ascii="Calibri" w:eastAsia="Calibri" w:hAnsi="Calibri" w:cs="Calibri"/>
                <w:sz w:val="24"/>
                <w:szCs w:val="24"/>
              </w:rPr>
              <w:t xml:space="preserve"> Papers distribution among the science  227 </w:t>
            </w:r>
          </w:p>
          <w:p w:rsidR="00D70EF6" w:rsidRDefault="00D70EF6">
            <w:pPr>
              <w:spacing w:line="276" w:lineRule="auto"/>
              <w:rPr>
                <w:sz w:val="12"/>
                <w:szCs w:val="12"/>
              </w:rPr>
            </w:pPr>
          </w:p>
        </w:tc>
      </w:tr>
    </w:tbl>
    <w:p w:rsidR="00D70EF6" w:rsidRDefault="00D70EF6">
      <w:pPr>
        <w:spacing w:after="0" w:line="360" w:lineRule="auto"/>
        <w:jc w:val="both"/>
        <w:rPr>
          <w:sz w:val="12"/>
          <w:szCs w:val="12"/>
        </w:rPr>
      </w:pPr>
    </w:p>
    <w:p w:rsidR="00D70EF6" w:rsidRDefault="002B04E2">
      <w:pPr>
        <w:numPr>
          <w:ilvl w:val="1"/>
          <w:numId w:val="12"/>
        </w:numPr>
        <w:pBdr>
          <w:top w:val="single" w:sz="4" w:space="1" w:color="000000"/>
          <w:left w:val="single" w:sz="4" w:space="4" w:color="000000"/>
          <w:bottom w:val="single" w:sz="4" w:space="1" w:color="000000"/>
          <w:right w:val="single" w:sz="4" w:space="4" w:color="000000"/>
          <w:between w:val="nil"/>
        </w:pBdr>
        <w:shd w:val="clear" w:color="auto" w:fill="D9D9D9"/>
        <w:spacing w:before="80" w:line="360" w:lineRule="auto"/>
        <w:ind w:left="360" w:hanging="360"/>
        <w:rPr>
          <w:b/>
          <w:bCs/>
          <w:color w:val="000000"/>
        </w:rPr>
      </w:pPr>
      <w:r>
        <w:rPr>
          <w:b/>
          <w:bCs/>
          <w:color w:val="000000"/>
        </w:rPr>
        <w:t>General Recommendations and notes</w:t>
      </w:r>
    </w:p>
    <w:p w:rsidR="00D70EF6" w:rsidRDefault="00D70EF6">
      <w:pPr>
        <w:spacing w:after="0" w:line="360" w:lineRule="auto"/>
        <w:jc w:val="both"/>
        <w:rPr>
          <w:sz w:val="12"/>
          <w:szCs w:val="12"/>
        </w:rPr>
      </w:pPr>
    </w:p>
    <w:tbl>
      <w:tblPr>
        <w:tblStyle w:val="aff5"/>
        <w:tblW w:w="10980"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D70EF6">
        <w:tc>
          <w:tcPr>
            <w:tcW w:w="10980" w:type="dxa"/>
          </w:tcPr>
          <w:p w:rsidR="00D70EF6" w:rsidRDefault="002B04E2">
            <w:pPr>
              <w:tabs>
                <w:tab w:val="left" w:pos="31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Start Early and Continuously: Don't wait until the end of a project to test quality. QA should be involved from the planning and design phases. The earlier a defect is found, the cheaper it is to fix.</w:t>
            </w:r>
          </w:p>
          <w:p w:rsidR="00D70EF6" w:rsidRDefault="002B04E2">
            <w:pPr>
              <w:tabs>
                <w:tab w:val="left" w:pos="31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Combine Automated and Manual Testing: Neither approach is sufficient on its own. Use automation for repetitive tasks like regression testing to ensure speed and efficiency. </w:t>
            </w:r>
          </w:p>
          <w:p w:rsidR="00D70EF6" w:rsidRDefault="002B04E2">
            <w:pPr>
              <w:tabs>
                <w:tab w:val="left" w:pos="31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Embrace a Culture of Quality: Quality is everyone's responsibility, not ju</w:t>
            </w:r>
            <w:r>
              <w:rPr>
                <w:rFonts w:ascii="Times New Roman" w:eastAsia="Times New Roman" w:hAnsi="Times New Roman" w:cs="Times New Roman"/>
                <w:sz w:val="24"/>
                <w:szCs w:val="24"/>
              </w:rPr>
              <w:t>st the QA team's. Foster a culture where developers, designers, and project managers all take ownership of their work's quality.</w:t>
            </w:r>
          </w:p>
          <w:p w:rsidR="00D70EF6" w:rsidRDefault="002B04E2">
            <w:pPr>
              <w:tabs>
                <w:tab w:val="left" w:pos="31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Prioritize Effective Documentation: Maintain clear and concise documentation for test plans, test cases, and bug reports. G</w:t>
            </w:r>
            <w:r>
              <w:rPr>
                <w:rFonts w:ascii="Times New Roman" w:eastAsia="Times New Roman" w:hAnsi="Times New Roman" w:cs="Times New Roman"/>
                <w:sz w:val="24"/>
                <w:szCs w:val="24"/>
              </w:rPr>
              <w:t>ood documentation reduces miscommunication, simplifies bug tracking, and makes it easier to onboard new team members.</w:t>
            </w:r>
          </w:p>
          <w:p w:rsidR="00D70EF6" w:rsidRDefault="002B04E2">
            <w:pPr>
              <w:tabs>
                <w:tab w:val="left" w:pos="31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Adopt Risk-Based Thinking: You can't test everything. Prioritize your testing efforts based on the potential impact of a defect. Focus</w:t>
            </w:r>
            <w:r>
              <w:rPr>
                <w:rFonts w:ascii="Times New Roman" w:eastAsia="Times New Roman" w:hAnsi="Times New Roman" w:cs="Times New Roman"/>
                <w:sz w:val="24"/>
                <w:szCs w:val="24"/>
              </w:rPr>
              <w:t xml:space="preserve"> more rigorously on critical and high-risk areas of the product, such as payment systems or security features.</w:t>
            </w:r>
          </w:p>
          <w:p w:rsidR="00D70EF6" w:rsidRDefault="002B04E2">
            <w:pPr>
              <w:tabs>
                <w:tab w:val="left" w:pos="31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Establish a Continuous Feedback Loop: The process doesn't end with a product launch. Collect user feedback, analyze discovered bugs, and use </w:t>
            </w:r>
            <w:r>
              <w:rPr>
                <w:rFonts w:ascii="Times New Roman" w:eastAsia="Times New Roman" w:hAnsi="Times New Roman" w:cs="Times New Roman"/>
                <w:sz w:val="24"/>
                <w:szCs w:val="24"/>
              </w:rPr>
              <w:t>this information to improve your processes and tools for future projects. This ensures continuous improvement.</w:t>
            </w:r>
          </w:p>
        </w:tc>
      </w:tr>
    </w:tbl>
    <w:p w:rsidR="00D70EF6" w:rsidRDefault="002B04E2">
      <w:pPr>
        <w:numPr>
          <w:ilvl w:val="1"/>
          <w:numId w:val="12"/>
        </w:numPr>
        <w:pBdr>
          <w:top w:val="single" w:sz="4" w:space="1" w:color="000000"/>
          <w:left w:val="single" w:sz="4" w:space="0" w:color="000000"/>
          <w:bottom w:val="single" w:sz="4" w:space="1" w:color="000000"/>
          <w:right w:val="single" w:sz="4" w:space="4" w:color="000000"/>
          <w:between w:val="nil"/>
        </w:pBdr>
        <w:shd w:val="clear" w:color="auto" w:fill="D9D9D9"/>
        <w:spacing w:before="80" w:line="360" w:lineRule="auto"/>
        <w:ind w:left="360" w:hanging="450"/>
        <w:rPr>
          <w:b/>
          <w:bCs/>
          <w:color w:val="000000"/>
        </w:rPr>
      </w:pPr>
      <w:r>
        <w:rPr>
          <w:b/>
          <w:bCs/>
          <w:color w:val="000000"/>
        </w:rPr>
        <w:t>List of programs (Departments) that follow Bologna Process</w:t>
      </w:r>
    </w:p>
    <w:p w:rsidR="00D70EF6" w:rsidRDefault="00D70EF6">
      <w:pPr>
        <w:spacing w:after="0" w:line="360" w:lineRule="auto"/>
        <w:jc w:val="both"/>
        <w:rPr>
          <w:sz w:val="12"/>
          <w:szCs w:val="12"/>
        </w:rPr>
      </w:pPr>
    </w:p>
    <w:tbl>
      <w:tblPr>
        <w:tblStyle w:val="aff6"/>
        <w:tblW w:w="11057"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1891"/>
        <w:gridCol w:w="3631"/>
        <w:gridCol w:w="1675"/>
        <w:gridCol w:w="3599"/>
        <w:gridCol w:w="25"/>
      </w:tblGrid>
      <w:tr w:rsidR="00D70EF6">
        <w:trPr>
          <w:gridAfter w:val="1"/>
          <w:wAfter w:w="25" w:type="dxa"/>
          <w:trHeight w:val="4868"/>
        </w:trPr>
        <w:tc>
          <w:tcPr>
            <w:tcW w:w="52" w:type="dxa"/>
          </w:tcPr>
          <w:p w:rsidR="00D70EF6" w:rsidRDefault="00D70EF6">
            <w:pPr>
              <w:widowControl w:val="0"/>
              <w:pBdr>
                <w:top w:val="nil"/>
                <w:left w:val="nil"/>
                <w:bottom w:val="nil"/>
                <w:right w:val="nil"/>
                <w:between w:val="nil"/>
              </w:pBdr>
              <w:spacing w:line="276" w:lineRule="auto"/>
              <w:rPr>
                <w:sz w:val="12"/>
                <w:szCs w:val="12"/>
              </w:rPr>
            </w:pPr>
          </w:p>
        </w:tc>
        <w:tc>
          <w:tcPr>
            <w:tcW w:w="10980" w:type="dxa"/>
            <w:gridSpan w:val="4"/>
          </w:tcPr>
          <w:p w:rsidR="00D70EF6" w:rsidRDefault="00D70EF6">
            <w:pPr>
              <w:spacing w:line="276" w:lineRule="auto"/>
              <w:jc w:val="both"/>
              <w:rPr>
                <w:sz w:val="22"/>
                <w:szCs w:val="22"/>
              </w:rPr>
            </w:pPr>
          </w:p>
          <w:p w:rsidR="00D70EF6" w:rsidRDefault="002B04E2">
            <w:pPr>
              <w:spacing w:line="360" w:lineRule="auto"/>
              <w:jc w:val="both"/>
              <w:rPr>
                <w:rFonts w:ascii="Calibri" w:eastAsia="Calibri" w:hAnsi="Calibri" w:cs="Calibri"/>
                <w:b/>
                <w:bCs/>
                <w:sz w:val="24"/>
                <w:szCs w:val="24"/>
              </w:rPr>
            </w:pPr>
            <w:r>
              <w:rPr>
                <w:rFonts w:ascii="Calibri" w:eastAsia="Calibri" w:hAnsi="Calibri" w:cs="Calibri"/>
                <w:b/>
                <w:bCs/>
                <w:sz w:val="24"/>
                <w:szCs w:val="24"/>
              </w:rPr>
              <w:t>college of applied science</w:t>
            </w:r>
          </w:p>
          <w:p w:rsidR="00D70EF6" w:rsidRDefault="002B04E2">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 xml:space="preserve">Pathological analysis </w:t>
            </w:r>
          </w:p>
          <w:p w:rsidR="00D70EF6" w:rsidRDefault="002B04E2">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Biotechnology</w:t>
            </w:r>
          </w:p>
          <w:p w:rsidR="00D70EF6" w:rsidRDefault="002B04E2">
            <w:pPr>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Medical Physics</w:t>
            </w:r>
          </w:p>
          <w:p w:rsidR="00D70EF6" w:rsidRDefault="002B04E2">
            <w:pPr>
              <w:numPr>
                <w:ilvl w:val="0"/>
                <w:numId w:val="1"/>
              </w:numPr>
              <w:pBdr>
                <w:top w:val="nil"/>
                <w:left w:val="nil"/>
                <w:bottom w:val="nil"/>
                <w:right w:val="nil"/>
                <w:between w:val="nil"/>
              </w:pBdr>
              <w:spacing w:after="200" w:line="276" w:lineRule="auto"/>
              <w:jc w:val="both"/>
              <w:rPr>
                <w:color w:val="000000"/>
                <w:sz w:val="22"/>
                <w:szCs w:val="22"/>
              </w:rPr>
            </w:pPr>
            <w:r>
              <w:rPr>
                <w:color w:val="000000"/>
                <w:sz w:val="22"/>
                <w:szCs w:val="22"/>
              </w:rPr>
              <w:t xml:space="preserve">Applied chemistry </w:t>
            </w:r>
          </w:p>
          <w:p w:rsidR="00D70EF6" w:rsidRDefault="002B04E2">
            <w:pPr>
              <w:spacing w:line="276" w:lineRule="auto"/>
              <w:jc w:val="both"/>
              <w:rPr>
                <w:rFonts w:ascii="Calibri" w:eastAsia="Calibri" w:hAnsi="Calibri" w:cs="Calibri"/>
                <w:b/>
                <w:bCs/>
                <w:sz w:val="24"/>
                <w:szCs w:val="24"/>
              </w:rPr>
            </w:pPr>
            <w:r>
              <w:rPr>
                <w:rFonts w:ascii="Calibri" w:eastAsia="Calibri" w:hAnsi="Calibri" w:cs="Calibri"/>
                <w:b/>
                <w:bCs/>
                <w:sz w:val="24"/>
                <w:szCs w:val="24"/>
              </w:rPr>
              <w:t>College of Administration and Economics</w:t>
            </w:r>
          </w:p>
          <w:p w:rsidR="00D70EF6" w:rsidRDefault="002B04E2">
            <w:pPr>
              <w:numPr>
                <w:ilvl w:val="0"/>
                <w:numId w:val="24"/>
              </w:numPr>
              <w:spacing w:line="276" w:lineRule="auto"/>
              <w:jc w:val="both"/>
              <w:rPr>
                <w:sz w:val="22"/>
                <w:szCs w:val="22"/>
              </w:rPr>
            </w:pPr>
            <w:r>
              <w:rPr>
                <w:sz w:val="22"/>
                <w:szCs w:val="22"/>
              </w:rPr>
              <w:t xml:space="preserve">Public Administration </w:t>
            </w:r>
          </w:p>
          <w:p w:rsidR="00D70EF6" w:rsidRDefault="002B04E2">
            <w:pPr>
              <w:numPr>
                <w:ilvl w:val="0"/>
                <w:numId w:val="24"/>
              </w:numPr>
              <w:spacing w:line="276" w:lineRule="auto"/>
              <w:jc w:val="both"/>
              <w:rPr>
                <w:sz w:val="22"/>
                <w:szCs w:val="22"/>
              </w:rPr>
            </w:pPr>
            <w:r>
              <w:rPr>
                <w:sz w:val="22"/>
                <w:szCs w:val="22"/>
              </w:rPr>
              <w:t xml:space="preserve">Business Administration </w:t>
            </w:r>
          </w:p>
          <w:p w:rsidR="00D70EF6" w:rsidRDefault="002B04E2">
            <w:pPr>
              <w:numPr>
                <w:ilvl w:val="0"/>
                <w:numId w:val="24"/>
              </w:numPr>
              <w:spacing w:line="276" w:lineRule="auto"/>
              <w:jc w:val="both"/>
              <w:rPr>
                <w:sz w:val="22"/>
                <w:szCs w:val="22"/>
              </w:rPr>
            </w:pPr>
            <w:r>
              <w:rPr>
                <w:sz w:val="22"/>
                <w:szCs w:val="22"/>
              </w:rPr>
              <w:t>Finance and Banking</w:t>
            </w:r>
          </w:p>
          <w:p w:rsidR="00D70EF6" w:rsidRDefault="002B04E2">
            <w:pPr>
              <w:numPr>
                <w:ilvl w:val="0"/>
                <w:numId w:val="24"/>
              </w:numPr>
              <w:spacing w:line="276" w:lineRule="auto"/>
              <w:jc w:val="both"/>
              <w:rPr>
                <w:sz w:val="22"/>
                <w:szCs w:val="22"/>
              </w:rPr>
            </w:pPr>
            <w:r>
              <w:rPr>
                <w:sz w:val="22"/>
                <w:szCs w:val="22"/>
              </w:rPr>
              <w:t>Economics</w:t>
            </w:r>
          </w:p>
          <w:p w:rsidR="00D70EF6" w:rsidRDefault="002B04E2">
            <w:pPr>
              <w:numPr>
                <w:ilvl w:val="0"/>
                <w:numId w:val="24"/>
              </w:numPr>
              <w:spacing w:line="276" w:lineRule="auto"/>
              <w:jc w:val="both"/>
              <w:rPr>
                <w:sz w:val="22"/>
                <w:szCs w:val="22"/>
              </w:rPr>
            </w:pPr>
            <w:r>
              <w:rPr>
                <w:sz w:val="22"/>
                <w:szCs w:val="22"/>
              </w:rPr>
              <w:t>Accounting</w:t>
            </w:r>
          </w:p>
          <w:p w:rsidR="00D70EF6" w:rsidRDefault="002B04E2">
            <w:pPr>
              <w:spacing w:line="276" w:lineRule="auto"/>
              <w:jc w:val="both"/>
              <w:rPr>
                <w:rFonts w:ascii="Calibri" w:eastAsia="Calibri" w:hAnsi="Calibri" w:cs="Calibri"/>
                <w:b/>
                <w:bCs/>
                <w:sz w:val="24"/>
                <w:szCs w:val="24"/>
              </w:rPr>
            </w:pPr>
            <w:r>
              <w:rPr>
                <w:rFonts w:ascii="Calibri" w:eastAsia="Calibri" w:hAnsi="Calibri" w:cs="Calibri"/>
                <w:b/>
                <w:bCs/>
                <w:sz w:val="24"/>
                <w:szCs w:val="24"/>
              </w:rPr>
              <w:t>College of Veterinary Medicine</w:t>
            </w:r>
          </w:p>
          <w:p w:rsidR="00D70EF6" w:rsidRDefault="002B04E2">
            <w:pPr>
              <w:numPr>
                <w:ilvl w:val="0"/>
                <w:numId w:val="19"/>
              </w:numPr>
              <w:pBdr>
                <w:top w:val="nil"/>
                <w:left w:val="nil"/>
                <w:bottom w:val="nil"/>
                <w:right w:val="nil"/>
                <w:between w:val="nil"/>
              </w:pBdr>
              <w:spacing w:after="200" w:line="276" w:lineRule="auto"/>
              <w:jc w:val="both"/>
              <w:rPr>
                <w:color w:val="000000"/>
                <w:sz w:val="22"/>
                <w:szCs w:val="22"/>
              </w:rPr>
            </w:pPr>
            <w:r>
              <w:rPr>
                <w:color w:val="000000"/>
                <w:sz w:val="22"/>
                <w:szCs w:val="22"/>
              </w:rPr>
              <w:t xml:space="preserve">Veterinary Medicine and Surgery </w:t>
            </w:r>
          </w:p>
        </w:tc>
      </w:tr>
      <w:tr w:rsidR="00D70EF6">
        <w:trPr>
          <w:trHeight w:val="2211"/>
        </w:trPr>
        <w:tc>
          <w:tcPr>
            <w:tcW w:w="1978" w:type="dxa"/>
            <w:gridSpan w:val="2"/>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b/>
                <w:bCs/>
                <w:color w:val="000000"/>
                <w:sz w:val="22"/>
                <w:szCs w:val="22"/>
              </w:rPr>
            </w:pPr>
            <w:r>
              <w:rPr>
                <w:b/>
                <w:bCs/>
                <w:color w:val="000000"/>
                <w:sz w:val="22"/>
                <w:szCs w:val="22"/>
              </w:rPr>
              <w:lastRenderedPageBreak/>
              <w:t>Submitted by:</w:t>
            </w:r>
          </w:p>
          <w:p w:rsidR="00D70EF6" w:rsidRDefault="00D70EF6">
            <w:pPr>
              <w:spacing w:line="360" w:lineRule="auto"/>
              <w:jc w:val="both"/>
              <w:rPr>
                <w:sz w:val="22"/>
                <w:szCs w:val="22"/>
              </w:rPr>
            </w:pPr>
          </w:p>
        </w:tc>
        <w:tc>
          <w:tcPr>
            <w:tcW w:w="3693" w:type="dxa"/>
            <w:tcBorders>
              <w:top w:val="single" w:sz="24" w:space="0" w:color="D9D9D9"/>
              <w:left w:val="single" w:sz="24" w:space="0" w:color="D9D9D9"/>
              <w:bottom w:val="single" w:sz="24" w:space="0" w:color="D9D9D9"/>
              <w:right w:val="single" w:sz="24" w:space="0" w:color="D9D9D9"/>
            </w:tcBorders>
          </w:tcPr>
          <w:p w:rsidR="00D70EF6" w:rsidRDefault="00D70EF6">
            <w:pPr>
              <w:spacing w:line="360" w:lineRule="auto"/>
              <w:jc w:val="both"/>
              <w:rPr>
                <w:sz w:val="22"/>
                <w:szCs w:val="22"/>
              </w:rPr>
            </w:pPr>
          </w:p>
          <w:p w:rsidR="00D70EF6" w:rsidRDefault="00D70EF6">
            <w:pPr>
              <w:spacing w:line="360" w:lineRule="auto"/>
              <w:jc w:val="both"/>
              <w:rPr>
                <w:sz w:val="22"/>
                <w:szCs w:val="22"/>
              </w:rPr>
            </w:pPr>
          </w:p>
          <w:p w:rsidR="00D70EF6" w:rsidRDefault="002B04E2">
            <w:pPr>
              <w:spacing w:line="360" w:lineRule="auto"/>
              <w:jc w:val="both"/>
              <w:rPr>
                <w:sz w:val="22"/>
                <w:szCs w:val="22"/>
              </w:rPr>
            </w:pPr>
            <w:r>
              <w:rPr>
                <w:sz w:val="22"/>
                <w:szCs w:val="22"/>
              </w:rPr>
              <w:t xml:space="preserve">                      </w:t>
            </w:r>
          </w:p>
          <w:p w:rsidR="00D70EF6" w:rsidRDefault="00D70EF6">
            <w:pPr>
              <w:spacing w:line="360" w:lineRule="auto"/>
              <w:jc w:val="both"/>
              <w:rPr>
                <w:sz w:val="22"/>
                <w:szCs w:val="22"/>
              </w:rPr>
            </w:pPr>
          </w:p>
          <w:p w:rsidR="00D70EF6" w:rsidRDefault="002B04E2">
            <w:pPr>
              <w:spacing w:line="360" w:lineRule="auto"/>
              <w:jc w:val="center"/>
              <w:rPr>
                <w:sz w:val="22"/>
                <w:szCs w:val="22"/>
              </w:rPr>
            </w:pPr>
            <w:r>
              <w:rPr>
                <w:sz w:val="22"/>
                <w:szCs w:val="22"/>
              </w:rPr>
              <w:t>Stamp</w:t>
            </w:r>
          </w:p>
          <w:p w:rsidR="00D70EF6" w:rsidRDefault="00D70EF6">
            <w:pPr>
              <w:spacing w:line="360" w:lineRule="auto"/>
              <w:jc w:val="both"/>
              <w:rPr>
                <w:sz w:val="22"/>
                <w:szCs w:val="22"/>
              </w:rPr>
            </w:pPr>
          </w:p>
          <w:p w:rsidR="00D70EF6" w:rsidRDefault="00D70EF6">
            <w:pPr>
              <w:spacing w:line="360" w:lineRule="auto"/>
              <w:jc w:val="both"/>
              <w:rPr>
                <w:sz w:val="22"/>
                <w:szCs w:val="22"/>
              </w:rPr>
            </w:pPr>
          </w:p>
          <w:p w:rsidR="00D70EF6" w:rsidRDefault="00D70EF6">
            <w:pPr>
              <w:spacing w:line="360" w:lineRule="auto"/>
              <w:jc w:val="both"/>
              <w:rPr>
                <w:sz w:val="22"/>
                <w:szCs w:val="22"/>
              </w:rPr>
            </w:pPr>
          </w:p>
        </w:tc>
        <w:tc>
          <w:tcPr>
            <w:tcW w:w="1701" w:type="dxa"/>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b/>
                <w:bCs/>
                <w:sz w:val="22"/>
                <w:szCs w:val="22"/>
              </w:rPr>
            </w:pPr>
            <w:r>
              <w:rPr>
                <w:b/>
                <w:bCs/>
                <w:sz w:val="22"/>
                <w:szCs w:val="22"/>
              </w:rPr>
              <w:t>Approved by</w:t>
            </w:r>
          </w:p>
        </w:tc>
        <w:tc>
          <w:tcPr>
            <w:tcW w:w="3685" w:type="dxa"/>
            <w:gridSpan w:val="2"/>
            <w:tcBorders>
              <w:top w:val="single" w:sz="24" w:space="0" w:color="D9D9D9"/>
              <w:left w:val="single" w:sz="24" w:space="0" w:color="D9D9D9"/>
              <w:bottom w:val="single" w:sz="24" w:space="0" w:color="D9D9D9"/>
              <w:right w:val="single" w:sz="24" w:space="0" w:color="D9D9D9"/>
            </w:tcBorders>
          </w:tcPr>
          <w:p w:rsidR="00D70EF6" w:rsidRDefault="002B04E2">
            <w:pPr>
              <w:spacing w:line="360" w:lineRule="auto"/>
              <w:jc w:val="both"/>
              <w:rPr>
                <w:sz w:val="22"/>
                <w:szCs w:val="22"/>
              </w:rPr>
            </w:pPr>
            <w:r>
              <w:rPr>
                <w:sz w:val="22"/>
                <w:szCs w:val="22"/>
              </w:rPr>
              <w:t xml:space="preserve">                    </w:t>
            </w:r>
          </w:p>
          <w:p w:rsidR="00D70EF6" w:rsidRDefault="00D70EF6">
            <w:pPr>
              <w:spacing w:line="360" w:lineRule="auto"/>
              <w:jc w:val="both"/>
              <w:rPr>
                <w:sz w:val="22"/>
                <w:szCs w:val="22"/>
              </w:rPr>
            </w:pPr>
          </w:p>
          <w:p w:rsidR="00D70EF6" w:rsidRDefault="00D70EF6">
            <w:pPr>
              <w:spacing w:line="360" w:lineRule="auto"/>
              <w:jc w:val="center"/>
              <w:rPr>
                <w:sz w:val="22"/>
                <w:szCs w:val="22"/>
              </w:rPr>
            </w:pPr>
          </w:p>
          <w:p w:rsidR="00D70EF6" w:rsidRDefault="00D70EF6">
            <w:pPr>
              <w:spacing w:line="360" w:lineRule="auto"/>
              <w:jc w:val="center"/>
              <w:rPr>
                <w:sz w:val="22"/>
                <w:szCs w:val="22"/>
              </w:rPr>
            </w:pPr>
          </w:p>
          <w:p w:rsidR="00D70EF6" w:rsidRDefault="002B04E2">
            <w:pPr>
              <w:spacing w:line="360" w:lineRule="auto"/>
              <w:jc w:val="center"/>
              <w:rPr>
                <w:sz w:val="22"/>
                <w:szCs w:val="22"/>
              </w:rPr>
            </w:pPr>
            <w:r>
              <w:rPr>
                <w:sz w:val="22"/>
                <w:szCs w:val="22"/>
              </w:rPr>
              <w:t>Stamp</w:t>
            </w:r>
          </w:p>
        </w:tc>
      </w:tr>
      <w:tr w:rsidR="00D70EF6">
        <w:tc>
          <w:tcPr>
            <w:tcW w:w="1978" w:type="dxa"/>
            <w:gridSpan w:val="2"/>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sz w:val="22"/>
                <w:szCs w:val="22"/>
              </w:rPr>
            </w:pPr>
            <w:r>
              <w:rPr>
                <w:sz w:val="22"/>
                <w:szCs w:val="22"/>
              </w:rPr>
              <w:t>Full name</w:t>
            </w:r>
          </w:p>
        </w:tc>
        <w:tc>
          <w:tcPr>
            <w:tcW w:w="3693" w:type="dxa"/>
            <w:tcBorders>
              <w:top w:val="single" w:sz="24" w:space="0" w:color="D9D9D9"/>
              <w:left w:val="single" w:sz="24" w:space="0" w:color="D9D9D9"/>
              <w:bottom w:val="single" w:sz="24" w:space="0" w:color="D9D9D9"/>
              <w:right w:val="single" w:sz="24" w:space="0" w:color="D9D9D9"/>
            </w:tcBorders>
          </w:tcPr>
          <w:p w:rsidR="00D70EF6" w:rsidRDefault="002B04E2">
            <w:pPr>
              <w:spacing w:line="360" w:lineRule="auto"/>
              <w:jc w:val="both"/>
              <w:rPr>
                <w:sz w:val="22"/>
                <w:szCs w:val="22"/>
              </w:rPr>
            </w:pPr>
            <w:r>
              <w:rPr>
                <w:sz w:val="22"/>
                <w:szCs w:val="22"/>
              </w:rPr>
              <w:t>Ahmed Sami Jarad</w:t>
            </w:r>
          </w:p>
        </w:tc>
        <w:tc>
          <w:tcPr>
            <w:tcW w:w="1701" w:type="dxa"/>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sz w:val="22"/>
                <w:szCs w:val="22"/>
              </w:rPr>
            </w:pPr>
            <w:r>
              <w:rPr>
                <w:sz w:val="22"/>
                <w:szCs w:val="22"/>
              </w:rPr>
              <w:t>Full name</w:t>
            </w:r>
          </w:p>
        </w:tc>
        <w:tc>
          <w:tcPr>
            <w:tcW w:w="3685" w:type="dxa"/>
            <w:gridSpan w:val="2"/>
            <w:tcBorders>
              <w:top w:val="single" w:sz="24" w:space="0" w:color="D9D9D9"/>
              <w:left w:val="single" w:sz="24" w:space="0" w:color="D9D9D9"/>
              <w:bottom w:val="single" w:sz="24" w:space="0" w:color="D9D9D9"/>
              <w:right w:val="single" w:sz="24" w:space="0" w:color="D9D9D9"/>
            </w:tcBorders>
          </w:tcPr>
          <w:p w:rsidR="00D70EF6" w:rsidRDefault="002B04E2">
            <w:pPr>
              <w:spacing w:line="360" w:lineRule="auto"/>
              <w:jc w:val="both"/>
              <w:rPr>
                <w:sz w:val="22"/>
                <w:szCs w:val="22"/>
              </w:rPr>
            </w:pPr>
            <w:r>
              <w:rPr>
                <w:sz w:val="22"/>
                <w:szCs w:val="22"/>
              </w:rPr>
              <w:t>Ahmed Suleiman Ahmed</w:t>
            </w:r>
          </w:p>
        </w:tc>
      </w:tr>
      <w:tr w:rsidR="00D70EF6">
        <w:tc>
          <w:tcPr>
            <w:tcW w:w="1978" w:type="dxa"/>
            <w:gridSpan w:val="2"/>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sz w:val="22"/>
                <w:szCs w:val="22"/>
              </w:rPr>
            </w:pPr>
            <w:r>
              <w:rPr>
                <w:sz w:val="22"/>
                <w:szCs w:val="22"/>
              </w:rPr>
              <w:t>Qualification</w:t>
            </w:r>
          </w:p>
        </w:tc>
        <w:tc>
          <w:tcPr>
            <w:tcW w:w="3693" w:type="dxa"/>
            <w:tcBorders>
              <w:top w:val="single" w:sz="24" w:space="0" w:color="D9D9D9"/>
              <w:left w:val="single" w:sz="24" w:space="0" w:color="D9D9D9"/>
              <w:bottom w:val="single" w:sz="24" w:space="0" w:color="D9D9D9"/>
              <w:right w:val="single" w:sz="24" w:space="0" w:color="D9D9D9"/>
            </w:tcBorders>
          </w:tcPr>
          <w:p w:rsidR="00D70EF6" w:rsidRDefault="002B04E2">
            <w:pPr>
              <w:spacing w:line="360" w:lineRule="auto"/>
              <w:jc w:val="both"/>
              <w:rPr>
                <w:sz w:val="22"/>
                <w:szCs w:val="22"/>
              </w:rPr>
            </w:pPr>
            <w:r>
              <w:rPr>
                <w:sz w:val="22"/>
                <w:szCs w:val="22"/>
              </w:rPr>
              <w:t>Ph.D., Professor</w:t>
            </w:r>
          </w:p>
        </w:tc>
        <w:tc>
          <w:tcPr>
            <w:tcW w:w="1701" w:type="dxa"/>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sz w:val="22"/>
                <w:szCs w:val="22"/>
              </w:rPr>
            </w:pPr>
            <w:r>
              <w:rPr>
                <w:sz w:val="22"/>
                <w:szCs w:val="22"/>
              </w:rPr>
              <w:t>Qualification</w:t>
            </w:r>
          </w:p>
        </w:tc>
        <w:tc>
          <w:tcPr>
            <w:tcW w:w="3685" w:type="dxa"/>
            <w:gridSpan w:val="2"/>
            <w:tcBorders>
              <w:top w:val="single" w:sz="24" w:space="0" w:color="D9D9D9"/>
              <w:left w:val="single" w:sz="24" w:space="0" w:color="D9D9D9"/>
              <w:bottom w:val="single" w:sz="24" w:space="0" w:color="D9D9D9"/>
              <w:right w:val="single" w:sz="24" w:space="0" w:color="D9D9D9"/>
            </w:tcBorders>
          </w:tcPr>
          <w:p w:rsidR="00D70EF6" w:rsidRDefault="002B04E2">
            <w:pPr>
              <w:spacing w:line="360" w:lineRule="auto"/>
              <w:jc w:val="both"/>
              <w:rPr>
                <w:sz w:val="22"/>
                <w:szCs w:val="22"/>
              </w:rPr>
            </w:pPr>
            <w:r>
              <w:rPr>
                <w:sz w:val="22"/>
                <w:szCs w:val="22"/>
              </w:rPr>
              <w:t>Ph.D., Professor</w:t>
            </w:r>
          </w:p>
        </w:tc>
      </w:tr>
      <w:tr w:rsidR="00D70EF6">
        <w:tc>
          <w:tcPr>
            <w:tcW w:w="1978" w:type="dxa"/>
            <w:gridSpan w:val="2"/>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sz w:val="22"/>
                <w:szCs w:val="22"/>
              </w:rPr>
            </w:pPr>
            <w:r>
              <w:rPr>
                <w:sz w:val="22"/>
                <w:szCs w:val="22"/>
              </w:rPr>
              <w:t>Post</w:t>
            </w:r>
          </w:p>
        </w:tc>
        <w:tc>
          <w:tcPr>
            <w:tcW w:w="3693" w:type="dxa"/>
            <w:tcBorders>
              <w:top w:val="single" w:sz="24" w:space="0" w:color="D9D9D9"/>
              <w:left w:val="single" w:sz="24" w:space="0" w:color="D9D9D9"/>
              <w:bottom w:val="single" w:sz="24" w:space="0" w:color="D9D9D9"/>
              <w:right w:val="single" w:sz="24" w:space="0" w:color="D9D9D9"/>
            </w:tcBorders>
          </w:tcPr>
          <w:p w:rsidR="00D70EF6" w:rsidRDefault="002B04E2">
            <w:pPr>
              <w:spacing w:line="360" w:lineRule="auto"/>
              <w:jc w:val="both"/>
              <w:rPr>
                <w:sz w:val="22"/>
                <w:szCs w:val="22"/>
              </w:rPr>
            </w:pPr>
            <w:r>
              <w:rPr>
                <w:sz w:val="22"/>
                <w:szCs w:val="22"/>
              </w:rPr>
              <w:t>Director of Quality Assurance</w:t>
            </w:r>
          </w:p>
        </w:tc>
        <w:tc>
          <w:tcPr>
            <w:tcW w:w="1701" w:type="dxa"/>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sz w:val="22"/>
                <w:szCs w:val="22"/>
              </w:rPr>
            </w:pPr>
            <w:r>
              <w:rPr>
                <w:sz w:val="22"/>
                <w:szCs w:val="22"/>
              </w:rPr>
              <w:t>Post</w:t>
            </w:r>
          </w:p>
        </w:tc>
        <w:tc>
          <w:tcPr>
            <w:tcW w:w="3685" w:type="dxa"/>
            <w:gridSpan w:val="2"/>
            <w:tcBorders>
              <w:top w:val="single" w:sz="24" w:space="0" w:color="D9D9D9"/>
              <w:left w:val="single" w:sz="24" w:space="0" w:color="D9D9D9"/>
              <w:bottom w:val="single" w:sz="24" w:space="0" w:color="D9D9D9"/>
              <w:right w:val="single" w:sz="24" w:space="0" w:color="D9D9D9"/>
            </w:tcBorders>
          </w:tcPr>
          <w:p w:rsidR="00D70EF6" w:rsidRDefault="002B04E2">
            <w:pPr>
              <w:spacing w:line="360" w:lineRule="auto"/>
              <w:jc w:val="both"/>
              <w:rPr>
                <w:sz w:val="22"/>
                <w:szCs w:val="22"/>
              </w:rPr>
            </w:pPr>
            <w:r>
              <w:rPr>
                <w:sz w:val="22"/>
                <w:szCs w:val="22"/>
              </w:rPr>
              <w:t>President of the University</w:t>
            </w:r>
          </w:p>
        </w:tc>
      </w:tr>
      <w:tr w:rsidR="00D70EF6">
        <w:tc>
          <w:tcPr>
            <w:tcW w:w="1978" w:type="dxa"/>
            <w:gridSpan w:val="2"/>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sz w:val="22"/>
                <w:szCs w:val="22"/>
              </w:rPr>
            </w:pPr>
            <w:r>
              <w:rPr>
                <w:sz w:val="22"/>
                <w:szCs w:val="22"/>
              </w:rPr>
              <w:t>Date</w:t>
            </w:r>
          </w:p>
        </w:tc>
        <w:tc>
          <w:tcPr>
            <w:tcW w:w="3693" w:type="dxa"/>
            <w:tcBorders>
              <w:top w:val="single" w:sz="24" w:space="0" w:color="D9D9D9"/>
              <w:left w:val="single" w:sz="24" w:space="0" w:color="D9D9D9"/>
              <w:bottom w:val="single" w:sz="24" w:space="0" w:color="D9D9D9"/>
              <w:right w:val="single" w:sz="24" w:space="0" w:color="D9D9D9"/>
            </w:tcBorders>
          </w:tcPr>
          <w:p w:rsidR="00D70EF6" w:rsidRDefault="00D70EF6">
            <w:pPr>
              <w:spacing w:line="360" w:lineRule="auto"/>
              <w:jc w:val="both"/>
              <w:rPr>
                <w:sz w:val="22"/>
                <w:szCs w:val="22"/>
              </w:rPr>
            </w:pPr>
          </w:p>
        </w:tc>
        <w:tc>
          <w:tcPr>
            <w:tcW w:w="1701" w:type="dxa"/>
            <w:tcBorders>
              <w:top w:val="single" w:sz="24" w:space="0" w:color="D9D9D9"/>
              <w:left w:val="single" w:sz="24" w:space="0" w:color="D9D9D9"/>
              <w:bottom w:val="single" w:sz="24" w:space="0" w:color="D9D9D9"/>
              <w:right w:val="single" w:sz="24" w:space="0" w:color="D9D9D9"/>
            </w:tcBorders>
            <w:shd w:val="clear" w:color="auto" w:fill="D9D9D9"/>
          </w:tcPr>
          <w:p w:rsidR="00D70EF6" w:rsidRDefault="002B04E2">
            <w:pPr>
              <w:spacing w:line="360" w:lineRule="auto"/>
              <w:jc w:val="both"/>
              <w:rPr>
                <w:sz w:val="22"/>
                <w:szCs w:val="22"/>
              </w:rPr>
            </w:pPr>
            <w:r>
              <w:rPr>
                <w:sz w:val="22"/>
                <w:szCs w:val="22"/>
              </w:rPr>
              <w:t>Date</w:t>
            </w:r>
          </w:p>
        </w:tc>
        <w:tc>
          <w:tcPr>
            <w:tcW w:w="3685" w:type="dxa"/>
            <w:gridSpan w:val="2"/>
            <w:tcBorders>
              <w:top w:val="single" w:sz="24" w:space="0" w:color="D9D9D9"/>
              <w:left w:val="single" w:sz="24" w:space="0" w:color="D9D9D9"/>
              <w:bottom w:val="single" w:sz="24" w:space="0" w:color="D9D9D9"/>
              <w:right w:val="single" w:sz="24" w:space="0" w:color="D9D9D9"/>
            </w:tcBorders>
          </w:tcPr>
          <w:p w:rsidR="00D70EF6" w:rsidRDefault="00D70EF6">
            <w:pPr>
              <w:spacing w:line="360" w:lineRule="auto"/>
              <w:jc w:val="both"/>
              <w:rPr>
                <w:sz w:val="22"/>
                <w:szCs w:val="22"/>
              </w:rPr>
            </w:pPr>
          </w:p>
        </w:tc>
      </w:tr>
    </w:tbl>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D70EF6">
      <w:pPr>
        <w:spacing w:after="0" w:line="360" w:lineRule="auto"/>
        <w:jc w:val="both"/>
        <w:rPr>
          <w:sz w:val="22"/>
          <w:szCs w:val="22"/>
        </w:rPr>
      </w:pPr>
    </w:p>
    <w:p w:rsidR="00D70EF6" w:rsidRDefault="002B04E2">
      <w:pPr>
        <w:spacing w:after="120"/>
        <w:jc w:val="center"/>
        <w:rPr>
          <w:b/>
          <w:bCs/>
          <w:smallCaps/>
          <w:color w:val="C62324"/>
          <w:sz w:val="40"/>
          <w:szCs w:val="40"/>
        </w:rPr>
      </w:pPr>
      <w:r>
        <w:rPr>
          <w:b/>
          <w:bCs/>
          <w:smallCaps/>
          <w:color w:val="C62324"/>
          <w:sz w:val="40"/>
          <w:szCs w:val="40"/>
        </w:rPr>
        <w:t>Appendix: Academic Performance Indicator report</w:t>
      </w:r>
    </w:p>
    <w:p w:rsidR="00D70EF6" w:rsidRDefault="00D70EF6">
      <w:pPr>
        <w:spacing w:after="0" w:line="360" w:lineRule="auto"/>
        <w:jc w:val="both"/>
        <w:rPr>
          <w:sz w:val="22"/>
          <w:szCs w:val="22"/>
        </w:rPr>
      </w:pPr>
    </w:p>
    <w:sectPr w:rsidR="00D70EF6">
      <w:headerReference w:type="default" r:id="rId31"/>
      <w:footerReference w:type="default" r:id="rId32"/>
      <w:pgSz w:w="12240" w:h="15840"/>
      <w:pgMar w:top="720" w:right="720" w:bottom="720" w:left="720" w:header="397"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4E2" w:rsidRDefault="002B04E2">
      <w:pPr>
        <w:spacing w:after="0" w:line="240" w:lineRule="auto"/>
      </w:pPr>
      <w:r>
        <w:separator/>
      </w:r>
    </w:p>
  </w:endnote>
  <w:endnote w:type="continuationSeparator" w:id="0">
    <w:p w:rsidR="002B04E2" w:rsidRDefault="002B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C5C4F40-AECD-4311-83B0-277B8D737C42}"/>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80AF7BC7-F8FB-429E-840A-5FE2FF13FFD1}"/>
    <w:embedBold r:id="rId3" w:fontKey="{190FCD49-F69B-46D0-9DD9-42E3BC56E7D3}"/>
    <w:embedItalic r:id="rId4" w:fontKey="{D0A5BE29-AC0E-4F52-8911-787A82690B49}"/>
    <w:embedBoldItalic r:id="rId5" w:fontKey="{A2EDBC61-8A1E-4BCB-88F6-C4A15CC044D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A61FD7F6-2BA6-40FF-A13A-DF1A001E88C8}"/>
    <w:embedBold r:id="rId7" w:fontKey="{610406F2-813A-4508-8CD3-88B135D080A6}"/>
    <w:embedItalic r:id="rId8" w:fontKey="{6EF62989-B8EB-4601-83ED-54EA0C50A2C1}"/>
    <w:embedBoldItalic r:id="rId9" w:fontKey="{5DC07CC8-D3FC-4514-A0F0-9ADC3B595917}"/>
  </w:font>
  <w:font w:name="CenturyGothic-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DCD3966C-3417-4804-867C-33902CA7AB32}"/>
    <w:embedBold r:id="rId11" w:fontKey="{487447C6-8B83-472D-9C51-3B774BBB12E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EF6" w:rsidRDefault="002B04E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B16918">
      <w:rPr>
        <w:color w:val="000000"/>
      </w:rPr>
      <w:fldChar w:fldCharType="separate"/>
    </w:r>
    <w:r w:rsidR="008F2CAA">
      <w:rPr>
        <w:noProof/>
        <w:color w:val="000000"/>
      </w:rPr>
      <w:t>1</w:t>
    </w:r>
    <w:r>
      <w:rPr>
        <w:color w:val="000000"/>
      </w:rPr>
      <w:fldChar w:fldCharType="end"/>
    </w:r>
  </w:p>
  <w:p w:rsidR="00D70EF6" w:rsidRDefault="00D70EF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4E2" w:rsidRDefault="002B04E2">
      <w:pPr>
        <w:spacing w:after="0" w:line="240" w:lineRule="auto"/>
      </w:pPr>
      <w:r>
        <w:separator/>
      </w:r>
    </w:p>
  </w:footnote>
  <w:footnote w:type="continuationSeparator" w:id="0">
    <w:p w:rsidR="002B04E2" w:rsidRDefault="002B0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EF6" w:rsidRDefault="00D70EF6">
    <w:pPr>
      <w:widowControl w:val="0"/>
      <w:pBdr>
        <w:top w:val="nil"/>
        <w:left w:val="nil"/>
        <w:bottom w:val="nil"/>
        <w:right w:val="nil"/>
        <w:between w:val="nil"/>
      </w:pBdr>
      <w:spacing w:after="0" w:line="276" w:lineRule="auto"/>
      <w:rPr>
        <w:sz w:val="22"/>
        <w:szCs w:val="22"/>
      </w:rPr>
    </w:pPr>
  </w:p>
  <w:tbl>
    <w:tblPr>
      <w:tblStyle w:val="aff7"/>
      <w:tblW w:w="1100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227"/>
      <w:gridCol w:w="2790"/>
      <w:gridCol w:w="1986"/>
    </w:tblGrid>
    <w:tr w:rsidR="00D70EF6">
      <w:trPr>
        <w:trHeight w:val="1160"/>
      </w:trPr>
      <w:tc>
        <w:tcPr>
          <w:tcW w:w="6228" w:type="dxa"/>
          <w:vAlign w:val="center"/>
        </w:tcPr>
        <w:p w:rsidR="00D70EF6" w:rsidRDefault="00D70EF6">
          <w:pPr>
            <w:pBdr>
              <w:top w:val="nil"/>
              <w:left w:val="nil"/>
              <w:bottom w:val="nil"/>
              <w:right w:val="nil"/>
              <w:between w:val="nil"/>
            </w:pBdr>
            <w:tabs>
              <w:tab w:val="center" w:pos="4680"/>
              <w:tab w:val="right" w:pos="9360"/>
            </w:tabs>
            <w:jc w:val="center"/>
            <w:rPr>
              <w:b/>
              <w:bCs/>
              <w:color w:val="000000"/>
              <w:sz w:val="28"/>
              <w:szCs w:val="28"/>
            </w:rPr>
          </w:pPr>
        </w:p>
        <w:p w:rsidR="00D70EF6" w:rsidRDefault="002B04E2">
          <w:pPr>
            <w:pBdr>
              <w:top w:val="nil"/>
              <w:left w:val="nil"/>
              <w:bottom w:val="nil"/>
              <w:right w:val="nil"/>
              <w:between w:val="nil"/>
            </w:pBdr>
            <w:tabs>
              <w:tab w:val="center" w:pos="4680"/>
              <w:tab w:val="right" w:pos="9360"/>
            </w:tabs>
            <w:jc w:val="center"/>
            <w:rPr>
              <w:b/>
              <w:bCs/>
              <w:color w:val="000000"/>
              <w:sz w:val="28"/>
              <w:szCs w:val="28"/>
            </w:rPr>
          </w:pPr>
          <w:r>
            <w:rPr>
              <w:b/>
              <w:bCs/>
              <w:color w:val="000000"/>
              <w:sz w:val="28"/>
              <w:szCs w:val="28"/>
            </w:rPr>
            <w:t>ANNUAL QUALITY ASSURANCE AND ENHANCEMENT REPORT BASED ON ESG-2015</w:t>
          </w:r>
        </w:p>
      </w:tc>
      <w:tc>
        <w:tcPr>
          <w:tcW w:w="2790" w:type="dxa"/>
          <w:vAlign w:val="center"/>
        </w:tcPr>
        <w:p w:rsidR="00D70EF6" w:rsidRDefault="00D70EF6">
          <w:pPr>
            <w:pBdr>
              <w:top w:val="nil"/>
              <w:left w:val="nil"/>
              <w:bottom w:val="nil"/>
              <w:right w:val="nil"/>
              <w:between w:val="nil"/>
            </w:pBdr>
            <w:tabs>
              <w:tab w:val="center" w:pos="4680"/>
              <w:tab w:val="right" w:pos="9360"/>
            </w:tabs>
            <w:jc w:val="center"/>
            <w:rPr>
              <w:color w:val="000000"/>
              <w:sz w:val="28"/>
              <w:szCs w:val="28"/>
            </w:rPr>
          </w:pPr>
        </w:p>
        <w:p w:rsidR="00D70EF6" w:rsidRDefault="002B04E2">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t>University of</w:t>
          </w:r>
        </w:p>
        <w:p w:rsidR="00D70EF6" w:rsidRDefault="002B04E2">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t>Fallujah-</w:t>
          </w:r>
        </w:p>
      </w:tc>
      <w:tc>
        <w:tcPr>
          <w:tcW w:w="1986" w:type="dxa"/>
          <w:vAlign w:val="center"/>
        </w:tcPr>
        <w:p w:rsidR="00D70EF6" w:rsidRDefault="002B04E2">
          <w:pPr>
            <w:pBdr>
              <w:top w:val="nil"/>
              <w:left w:val="nil"/>
              <w:bottom w:val="nil"/>
              <w:right w:val="nil"/>
              <w:between w:val="nil"/>
            </w:pBdr>
            <w:tabs>
              <w:tab w:val="center" w:pos="4680"/>
              <w:tab w:val="right" w:pos="9360"/>
            </w:tabs>
            <w:jc w:val="center"/>
            <w:rPr>
              <w:b/>
              <w:bCs/>
              <w:color w:val="000000"/>
              <w:sz w:val="36"/>
              <w:szCs w:val="36"/>
            </w:rPr>
          </w:pPr>
          <w:r>
            <w:rPr>
              <w:b/>
              <w:bCs/>
              <w:noProof/>
              <w:color w:val="000000"/>
              <w:sz w:val="36"/>
              <w:szCs w:val="36"/>
              <w:lang w:val="en-US"/>
            </w:rPr>
            <w:drawing>
              <wp:inline distT="0" distB="0" distL="0" distR="0">
                <wp:extent cx="1115695" cy="96329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5695" cy="963295"/>
                        </a:xfrm>
                        <a:prstGeom prst="rect">
                          <a:avLst/>
                        </a:prstGeom>
                        <a:ln/>
                      </pic:spPr>
                    </pic:pic>
                  </a:graphicData>
                </a:graphic>
              </wp:inline>
            </w:drawing>
          </w:r>
        </w:p>
      </w:tc>
    </w:tr>
  </w:tbl>
  <w:p w:rsidR="00D70EF6" w:rsidRDefault="00D70EF6">
    <w:pPr>
      <w:pBdr>
        <w:top w:val="nil"/>
        <w:left w:val="nil"/>
        <w:bottom w:val="nil"/>
        <w:right w:val="nil"/>
        <w:between w:val="nil"/>
      </w:pBdr>
      <w:tabs>
        <w:tab w:val="center" w:pos="4680"/>
        <w:tab w:val="right" w:pos="9360"/>
      </w:tabs>
      <w:spacing w:after="0" w:line="240" w:lineRule="auto"/>
      <w:rPr>
        <w:b/>
        <w:bCs/>
        <w:color w:val="000000"/>
        <w:sz w:val="36"/>
        <w:szCs w:val="3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147"/>
    <w:multiLevelType w:val="multilevel"/>
    <w:tmpl w:val="E5E06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1F19B8"/>
    <w:multiLevelType w:val="multilevel"/>
    <w:tmpl w:val="CF6CE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454CED"/>
    <w:multiLevelType w:val="multilevel"/>
    <w:tmpl w:val="A9FA8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7D10F3"/>
    <w:multiLevelType w:val="multilevel"/>
    <w:tmpl w:val="E3BAE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B761C0C"/>
    <w:multiLevelType w:val="multilevel"/>
    <w:tmpl w:val="57CA39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1943156"/>
    <w:multiLevelType w:val="multilevel"/>
    <w:tmpl w:val="C1DA84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A5E75F8"/>
    <w:multiLevelType w:val="multilevel"/>
    <w:tmpl w:val="E056C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126E08"/>
    <w:multiLevelType w:val="multilevel"/>
    <w:tmpl w:val="CAE2EF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DC2F43"/>
    <w:multiLevelType w:val="multilevel"/>
    <w:tmpl w:val="C37C1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2E4A9F"/>
    <w:multiLevelType w:val="multilevel"/>
    <w:tmpl w:val="FF143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86217C"/>
    <w:multiLevelType w:val="multilevel"/>
    <w:tmpl w:val="B7E205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B5D4CE1"/>
    <w:multiLevelType w:val="multilevel"/>
    <w:tmpl w:val="49E89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9E0125"/>
    <w:multiLevelType w:val="multilevel"/>
    <w:tmpl w:val="3620F8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D486F48"/>
    <w:multiLevelType w:val="multilevel"/>
    <w:tmpl w:val="C2CA44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DF837FC"/>
    <w:multiLevelType w:val="multilevel"/>
    <w:tmpl w:val="0DBAD3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A73A10"/>
    <w:multiLevelType w:val="multilevel"/>
    <w:tmpl w:val="56E29E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0D647AA"/>
    <w:multiLevelType w:val="multilevel"/>
    <w:tmpl w:val="1D709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0F54F77"/>
    <w:multiLevelType w:val="multilevel"/>
    <w:tmpl w:val="A7C472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19A285F"/>
    <w:multiLevelType w:val="multilevel"/>
    <w:tmpl w:val="E41EF364"/>
    <w:lvl w:ilvl="0">
      <w:start w:val="1"/>
      <w:numFmt w:val="decimal"/>
      <w:lvlText w:val="%1."/>
      <w:lvlJc w:val="left"/>
      <w:pPr>
        <w:ind w:left="3600" w:hanging="360"/>
      </w:pPr>
    </w:lvl>
    <w:lvl w:ilvl="1">
      <w:start w:val="1"/>
      <w:numFmt w:val="decimal"/>
      <w:lvlText w:val="%1.%2"/>
      <w:lvlJc w:val="left"/>
      <w:pPr>
        <w:ind w:left="3960" w:hanging="720"/>
      </w:pPr>
    </w:lvl>
    <w:lvl w:ilvl="2">
      <w:start w:val="1"/>
      <w:numFmt w:val="decimal"/>
      <w:lvlText w:val="%1.%2.%3"/>
      <w:lvlJc w:val="left"/>
      <w:pPr>
        <w:ind w:left="3960" w:hanging="720"/>
      </w:pPr>
    </w:lvl>
    <w:lvl w:ilvl="3">
      <w:start w:val="1"/>
      <w:numFmt w:val="decimal"/>
      <w:lvlText w:val="%1.%2.%3.%4"/>
      <w:lvlJc w:val="left"/>
      <w:pPr>
        <w:ind w:left="4320" w:hanging="1080"/>
      </w:pPr>
    </w:lvl>
    <w:lvl w:ilvl="4">
      <w:start w:val="1"/>
      <w:numFmt w:val="decimal"/>
      <w:lvlText w:val="%1.%2.%3.%4.%5"/>
      <w:lvlJc w:val="left"/>
      <w:pPr>
        <w:ind w:left="4320" w:hanging="1080"/>
      </w:pPr>
    </w:lvl>
    <w:lvl w:ilvl="5">
      <w:start w:val="1"/>
      <w:numFmt w:val="decimal"/>
      <w:lvlText w:val="%1.%2.%3.%4.%5.%6"/>
      <w:lvlJc w:val="left"/>
      <w:pPr>
        <w:ind w:left="4680" w:hanging="1440"/>
      </w:pPr>
    </w:lvl>
    <w:lvl w:ilvl="6">
      <w:start w:val="1"/>
      <w:numFmt w:val="decimal"/>
      <w:lvlText w:val="%1.%2.%3.%4.%5.%6.%7"/>
      <w:lvlJc w:val="left"/>
      <w:pPr>
        <w:ind w:left="5040" w:hanging="1800"/>
      </w:pPr>
    </w:lvl>
    <w:lvl w:ilvl="7">
      <w:start w:val="1"/>
      <w:numFmt w:val="decimal"/>
      <w:lvlText w:val="%1.%2.%3.%4.%5.%6.%7.%8"/>
      <w:lvlJc w:val="left"/>
      <w:pPr>
        <w:ind w:left="5040" w:hanging="1800"/>
      </w:pPr>
    </w:lvl>
    <w:lvl w:ilvl="8">
      <w:start w:val="1"/>
      <w:numFmt w:val="decimal"/>
      <w:lvlText w:val="%1.%2.%3.%4.%5.%6.%7.%8.%9"/>
      <w:lvlJc w:val="left"/>
      <w:pPr>
        <w:ind w:left="5400" w:hanging="2160"/>
      </w:pPr>
    </w:lvl>
  </w:abstractNum>
  <w:abstractNum w:abstractNumId="19" w15:restartNumberingAfterBreak="0">
    <w:nsid w:val="66824709"/>
    <w:multiLevelType w:val="multilevel"/>
    <w:tmpl w:val="C0FC2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005203"/>
    <w:multiLevelType w:val="multilevel"/>
    <w:tmpl w:val="F912C3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1B6147F"/>
    <w:multiLevelType w:val="multilevel"/>
    <w:tmpl w:val="0C882C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9422CF6"/>
    <w:multiLevelType w:val="multilevel"/>
    <w:tmpl w:val="44723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F0324F"/>
    <w:multiLevelType w:val="multilevel"/>
    <w:tmpl w:val="92F65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6"/>
  </w:num>
  <w:num w:numId="3">
    <w:abstractNumId w:val="12"/>
  </w:num>
  <w:num w:numId="4">
    <w:abstractNumId w:val="5"/>
  </w:num>
  <w:num w:numId="5">
    <w:abstractNumId w:val="17"/>
  </w:num>
  <w:num w:numId="6">
    <w:abstractNumId w:val="3"/>
  </w:num>
  <w:num w:numId="7">
    <w:abstractNumId w:val="4"/>
  </w:num>
  <w:num w:numId="8">
    <w:abstractNumId w:val="7"/>
  </w:num>
  <w:num w:numId="9">
    <w:abstractNumId w:val="20"/>
  </w:num>
  <w:num w:numId="10">
    <w:abstractNumId w:val="13"/>
  </w:num>
  <w:num w:numId="11">
    <w:abstractNumId w:val="10"/>
  </w:num>
  <w:num w:numId="12">
    <w:abstractNumId w:val="18"/>
  </w:num>
  <w:num w:numId="13">
    <w:abstractNumId w:val="21"/>
  </w:num>
  <w:num w:numId="14">
    <w:abstractNumId w:val="0"/>
  </w:num>
  <w:num w:numId="15">
    <w:abstractNumId w:val="8"/>
  </w:num>
  <w:num w:numId="16">
    <w:abstractNumId w:val="22"/>
  </w:num>
  <w:num w:numId="17">
    <w:abstractNumId w:val="1"/>
  </w:num>
  <w:num w:numId="18">
    <w:abstractNumId w:val="19"/>
  </w:num>
  <w:num w:numId="19">
    <w:abstractNumId w:val="2"/>
  </w:num>
  <w:num w:numId="20">
    <w:abstractNumId w:val="15"/>
  </w:num>
  <w:num w:numId="21">
    <w:abstractNumId w:val="11"/>
  </w:num>
  <w:num w:numId="22">
    <w:abstractNumId w:val="23"/>
  </w:num>
  <w:num w:numId="23">
    <w:abstractNumId w:val="16"/>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EF6"/>
    <w:rsid w:val="002B04E2"/>
    <w:rsid w:val="008F2CAA"/>
    <w:rsid w:val="00B16918"/>
    <w:rsid w:val="00D70E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6D8F"/>
  <w15:docId w15:val="{89E599CF-8D08-4750-AA50-E92991136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1"/>
        <w:szCs w:val="21"/>
        <w:lang w:val="en"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40" w:line="240" w:lineRule="auto"/>
      <w:outlineLvl w:val="0"/>
    </w:pPr>
    <w:rPr>
      <w:color w:val="941A1A"/>
      <w:sz w:val="40"/>
      <w:szCs w:val="40"/>
    </w:rPr>
  </w:style>
  <w:style w:type="paragraph" w:styleId="2">
    <w:name w:val="heading 2"/>
    <w:basedOn w:val="a"/>
    <w:next w:val="a"/>
    <w:pPr>
      <w:keepNext/>
      <w:keepLines/>
      <w:spacing w:before="80" w:after="0" w:line="240" w:lineRule="auto"/>
      <w:outlineLvl w:val="1"/>
    </w:pPr>
    <w:rPr>
      <w:color w:val="941A1A"/>
      <w:sz w:val="28"/>
      <w:szCs w:val="28"/>
    </w:rPr>
  </w:style>
  <w:style w:type="paragraph" w:styleId="3">
    <w:name w:val="heading 3"/>
    <w:basedOn w:val="a"/>
    <w:next w:val="a"/>
    <w:pPr>
      <w:keepNext/>
      <w:keepLines/>
      <w:spacing w:before="80" w:after="0" w:line="240" w:lineRule="auto"/>
      <w:outlineLvl w:val="2"/>
    </w:pPr>
    <w:rPr>
      <w:color w:val="941A1A"/>
      <w:sz w:val="24"/>
      <w:szCs w:val="24"/>
    </w:rPr>
  </w:style>
  <w:style w:type="paragraph" w:styleId="4">
    <w:name w:val="heading 4"/>
    <w:basedOn w:val="a"/>
    <w:next w:val="a"/>
    <w:pPr>
      <w:keepNext/>
      <w:keepLines/>
      <w:spacing w:before="80" w:after="0"/>
      <w:outlineLvl w:val="3"/>
    </w:pPr>
    <w:rPr>
      <w:color w:val="C62324"/>
      <w:sz w:val="22"/>
      <w:szCs w:val="22"/>
    </w:rPr>
  </w:style>
  <w:style w:type="paragraph" w:styleId="5">
    <w:name w:val="heading 5"/>
    <w:basedOn w:val="a"/>
    <w:next w:val="a"/>
    <w:pPr>
      <w:keepNext/>
      <w:keepLines/>
      <w:spacing w:before="40" w:after="0"/>
      <w:outlineLvl w:val="4"/>
    </w:pPr>
    <w:rPr>
      <w:i/>
      <w:iCs/>
      <w:color w:val="C62324"/>
      <w:sz w:val="22"/>
      <w:szCs w:val="22"/>
    </w:rPr>
  </w:style>
  <w:style w:type="paragraph" w:styleId="6">
    <w:name w:val="heading 6"/>
    <w:basedOn w:val="a"/>
    <w:next w:val="a"/>
    <w:pPr>
      <w:keepNext/>
      <w:keepLines/>
      <w:spacing w:before="40" w:after="0"/>
      <w:outlineLvl w:val="5"/>
    </w:pPr>
    <w:rPr>
      <w:color w:val="C62324"/>
    </w:rPr>
  </w:style>
  <w:style w:type="paragraph" w:styleId="7">
    <w:name w:val="heading 7"/>
    <w:link w:val="7Char"/>
    <w:uiPriority w:val="9"/>
    <w:semiHidden/>
    <w:unhideWhenUsed/>
    <w:qFormat/>
    <w:rsid w:val="00C87DA3"/>
    <w:pPr>
      <w:keepNext/>
      <w:keepLines/>
      <w:spacing w:before="40" w:after="0"/>
      <w:outlineLvl w:val="6"/>
    </w:pPr>
    <w:rPr>
      <w:rFonts w:asciiTheme="majorHAnsi" w:eastAsiaTheme="majorEastAsia" w:hAnsiTheme="majorHAnsi" w:cstheme="majorBidi"/>
      <w:b/>
      <w:bCs/>
      <w:color w:val="C62324" w:themeColor="accent6"/>
    </w:rPr>
  </w:style>
  <w:style w:type="paragraph" w:styleId="8">
    <w:name w:val="heading 8"/>
    <w:link w:val="8Char"/>
    <w:uiPriority w:val="9"/>
    <w:semiHidden/>
    <w:unhideWhenUsed/>
    <w:qFormat/>
    <w:rsid w:val="00C87DA3"/>
    <w:pPr>
      <w:keepNext/>
      <w:keepLines/>
      <w:spacing w:before="40" w:after="0"/>
      <w:outlineLvl w:val="7"/>
    </w:pPr>
    <w:rPr>
      <w:rFonts w:asciiTheme="majorHAnsi" w:eastAsiaTheme="majorEastAsia" w:hAnsiTheme="majorHAnsi" w:cstheme="majorBidi"/>
      <w:b/>
      <w:bCs/>
      <w:i/>
      <w:iCs/>
      <w:color w:val="C62324" w:themeColor="accent6"/>
      <w:sz w:val="20"/>
      <w:szCs w:val="20"/>
    </w:rPr>
  </w:style>
  <w:style w:type="paragraph" w:styleId="9">
    <w:name w:val="heading 9"/>
    <w:link w:val="9Char"/>
    <w:uiPriority w:val="9"/>
    <w:semiHidden/>
    <w:unhideWhenUsed/>
    <w:qFormat/>
    <w:rsid w:val="00C87DA3"/>
    <w:pPr>
      <w:keepNext/>
      <w:keepLines/>
      <w:spacing w:before="40" w:after="0"/>
      <w:outlineLvl w:val="8"/>
    </w:pPr>
    <w:rPr>
      <w:rFonts w:asciiTheme="majorHAnsi" w:eastAsiaTheme="majorEastAsia" w:hAnsiTheme="majorHAnsi" w:cstheme="majorBidi"/>
      <w:i/>
      <w:iCs/>
      <w:color w:val="C62324"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0" w:line="240" w:lineRule="auto"/>
    </w:pPr>
    <w:rPr>
      <w:color w:val="262626"/>
      <w:sz w:val="96"/>
      <w:szCs w:val="96"/>
    </w:rPr>
  </w:style>
  <w:style w:type="paragraph" w:styleId="a4">
    <w:name w:val="header"/>
    <w:link w:val="Char"/>
    <w:uiPriority w:val="99"/>
    <w:unhideWhenUsed/>
    <w:rsid w:val="00C87DA3"/>
    <w:pPr>
      <w:tabs>
        <w:tab w:val="center" w:pos="4680"/>
        <w:tab w:val="right" w:pos="9360"/>
      </w:tabs>
      <w:spacing w:after="0" w:line="240" w:lineRule="auto"/>
    </w:pPr>
  </w:style>
  <w:style w:type="character" w:customStyle="1" w:styleId="Char">
    <w:name w:val="رأس الصفحة Char"/>
    <w:basedOn w:val="a0"/>
    <w:link w:val="a4"/>
    <w:uiPriority w:val="99"/>
    <w:rsid w:val="00C87DA3"/>
  </w:style>
  <w:style w:type="paragraph" w:styleId="a5">
    <w:name w:val="footer"/>
    <w:link w:val="Char0"/>
    <w:uiPriority w:val="99"/>
    <w:unhideWhenUsed/>
    <w:rsid w:val="00C87DA3"/>
    <w:pPr>
      <w:tabs>
        <w:tab w:val="center" w:pos="4680"/>
        <w:tab w:val="right" w:pos="9360"/>
      </w:tabs>
      <w:spacing w:after="0" w:line="240" w:lineRule="auto"/>
    </w:pPr>
  </w:style>
  <w:style w:type="character" w:customStyle="1" w:styleId="Char0">
    <w:name w:val="تذييل الصفحة Char"/>
    <w:basedOn w:val="a0"/>
    <w:link w:val="a5"/>
    <w:uiPriority w:val="99"/>
    <w:rsid w:val="00C87DA3"/>
  </w:style>
  <w:style w:type="character" w:customStyle="1" w:styleId="1Char">
    <w:name w:val="العنوان 1 Char"/>
    <w:basedOn w:val="a0"/>
    <w:uiPriority w:val="9"/>
    <w:rsid w:val="00C87DA3"/>
    <w:rPr>
      <w:rFonts w:asciiTheme="majorHAnsi" w:eastAsiaTheme="majorEastAsia" w:hAnsiTheme="majorHAnsi" w:cstheme="majorBidi"/>
      <w:color w:val="941A1A" w:themeColor="accent6" w:themeShade="BF"/>
      <w:sz w:val="40"/>
      <w:szCs w:val="40"/>
    </w:rPr>
  </w:style>
  <w:style w:type="character" w:customStyle="1" w:styleId="2Char">
    <w:name w:val="عنوان 2 Char"/>
    <w:basedOn w:val="a0"/>
    <w:uiPriority w:val="9"/>
    <w:semiHidden/>
    <w:rsid w:val="00C87DA3"/>
    <w:rPr>
      <w:rFonts w:asciiTheme="majorHAnsi" w:eastAsiaTheme="majorEastAsia" w:hAnsiTheme="majorHAnsi" w:cstheme="majorBidi"/>
      <w:color w:val="941A1A" w:themeColor="accent6" w:themeShade="BF"/>
      <w:sz w:val="28"/>
      <w:szCs w:val="28"/>
    </w:rPr>
  </w:style>
  <w:style w:type="character" w:customStyle="1" w:styleId="3Char">
    <w:name w:val="عنوان 3 Char"/>
    <w:basedOn w:val="a0"/>
    <w:uiPriority w:val="9"/>
    <w:semiHidden/>
    <w:rsid w:val="00C87DA3"/>
    <w:rPr>
      <w:rFonts w:asciiTheme="majorHAnsi" w:eastAsiaTheme="majorEastAsia" w:hAnsiTheme="majorHAnsi" w:cstheme="majorBidi"/>
      <w:color w:val="941A1A" w:themeColor="accent6" w:themeShade="BF"/>
      <w:sz w:val="24"/>
      <w:szCs w:val="24"/>
    </w:rPr>
  </w:style>
  <w:style w:type="character" w:customStyle="1" w:styleId="4Char">
    <w:name w:val="عنوان 4 Char"/>
    <w:basedOn w:val="a0"/>
    <w:uiPriority w:val="9"/>
    <w:semiHidden/>
    <w:rsid w:val="00C87DA3"/>
    <w:rPr>
      <w:rFonts w:asciiTheme="majorHAnsi" w:eastAsiaTheme="majorEastAsia" w:hAnsiTheme="majorHAnsi" w:cstheme="majorBidi"/>
      <w:color w:val="C62324" w:themeColor="accent6"/>
      <w:sz w:val="22"/>
      <w:szCs w:val="22"/>
    </w:rPr>
  </w:style>
  <w:style w:type="character" w:customStyle="1" w:styleId="5Char">
    <w:name w:val="عنوان 5 Char"/>
    <w:basedOn w:val="a0"/>
    <w:uiPriority w:val="9"/>
    <w:semiHidden/>
    <w:rsid w:val="00C87DA3"/>
    <w:rPr>
      <w:rFonts w:asciiTheme="majorHAnsi" w:eastAsiaTheme="majorEastAsia" w:hAnsiTheme="majorHAnsi" w:cstheme="majorBidi"/>
      <w:i/>
      <w:iCs/>
      <w:color w:val="C62324" w:themeColor="accent6"/>
      <w:sz w:val="22"/>
      <w:szCs w:val="22"/>
    </w:rPr>
  </w:style>
  <w:style w:type="character" w:customStyle="1" w:styleId="6Char">
    <w:name w:val="عنوان 6 Char"/>
    <w:basedOn w:val="a0"/>
    <w:uiPriority w:val="9"/>
    <w:semiHidden/>
    <w:rsid w:val="00C87DA3"/>
    <w:rPr>
      <w:rFonts w:asciiTheme="majorHAnsi" w:eastAsiaTheme="majorEastAsia" w:hAnsiTheme="majorHAnsi" w:cstheme="majorBidi"/>
      <w:color w:val="C62324" w:themeColor="accent6"/>
    </w:rPr>
  </w:style>
  <w:style w:type="character" w:customStyle="1" w:styleId="7Char">
    <w:name w:val="عنوان 7 Char"/>
    <w:basedOn w:val="a0"/>
    <w:link w:val="7"/>
    <w:uiPriority w:val="9"/>
    <w:semiHidden/>
    <w:rsid w:val="00C87DA3"/>
    <w:rPr>
      <w:rFonts w:asciiTheme="majorHAnsi" w:eastAsiaTheme="majorEastAsia" w:hAnsiTheme="majorHAnsi" w:cstheme="majorBidi"/>
      <w:b/>
      <w:bCs/>
      <w:color w:val="C62324" w:themeColor="accent6"/>
    </w:rPr>
  </w:style>
  <w:style w:type="character" w:customStyle="1" w:styleId="8Char">
    <w:name w:val="عنوان 8 Char"/>
    <w:basedOn w:val="a0"/>
    <w:link w:val="8"/>
    <w:uiPriority w:val="9"/>
    <w:semiHidden/>
    <w:rsid w:val="00C87DA3"/>
    <w:rPr>
      <w:rFonts w:asciiTheme="majorHAnsi" w:eastAsiaTheme="majorEastAsia" w:hAnsiTheme="majorHAnsi" w:cstheme="majorBidi"/>
      <w:b/>
      <w:bCs/>
      <w:i/>
      <w:iCs/>
      <w:color w:val="C62324" w:themeColor="accent6"/>
      <w:sz w:val="20"/>
      <w:szCs w:val="20"/>
    </w:rPr>
  </w:style>
  <w:style w:type="character" w:customStyle="1" w:styleId="9Char">
    <w:name w:val="عنوان 9 Char"/>
    <w:basedOn w:val="a0"/>
    <w:link w:val="9"/>
    <w:uiPriority w:val="9"/>
    <w:semiHidden/>
    <w:rsid w:val="00C87DA3"/>
    <w:rPr>
      <w:rFonts w:asciiTheme="majorHAnsi" w:eastAsiaTheme="majorEastAsia" w:hAnsiTheme="majorHAnsi" w:cstheme="majorBidi"/>
      <w:i/>
      <w:iCs/>
      <w:color w:val="C62324" w:themeColor="accent6"/>
      <w:sz w:val="20"/>
      <w:szCs w:val="20"/>
    </w:rPr>
  </w:style>
  <w:style w:type="paragraph" w:styleId="a6">
    <w:name w:val="caption"/>
    <w:uiPriority w:val="35"/>
    <w:semiHidden/>
    <w:unhideWhenUsed/>
    <w:qFormat/>
    <w:rsid w:val="00C87DA3"/>
    <w:pPr>
      <w:spacing w:line="240" w:lineRule="auto"/>
    </w:pPr>
    <w:rPr>
      <w:b/>
      <w:bCs/>
      <w:smallCaps/>
      <w:color w:val="595959" w:themeColor="text1" w:themeTint="A6"/>
    </w:rPr>
  </w:style>
  <w:style w:type="character" w:customStyle="1" w:styleId="Char1">
    <w:name w:val="العنوان Char"/>
    <w:basedOn w:val="a0"/>
    <w:uiPriority w:val="10"/>
    <w:rsid w:val="00C87DA3"/>
    <w:rPr>
      <w:rFonts w:asciiTheme="majorHAnsi" w:eastAsiaTheme="majorEastAsia" w:hAnsiTheme="majorHAnsi" w:cstheme="majorBidi"/>
      <w:color w:val="262626" w:themeColor="text1" w:themeTint="D9"/>
      <w:spacing w:val="-15"/>
      <w:sz w:val="96"/>
      <w:szCs w:val="96"/>
    </w:rPr>
  </w:style>
  <w:style w:type="character" w:customStyle="1" w:styleId="Char2">
    <w:name w:val="عنوان فرعي Char"/>
    <w:basedOn w:val="a0"/>
    <w:uiPriority w:val="11"/>
    <w:rsid w:val="00C87DA3"/>
    <w:rPr>
      <w:rFonts w:asciiTheme="majorHAnsi" w:eastAsiaTheme="majorEastAsia" w:hAnsiTheme="majorHAnsi" w:cstheme="majorBidi"/>
      <w:sz w:val="30"/>
      <w:szCs w:val="30"/>
    </w:rPr>
  </w:style>
  <w:style w:type="character" w:styleId="a7">
    <w:name w:val="Strong"/>
    <w:basedOn w:val="a0"/>
    <w:uiPriority w:val="22"/>
    <w:qFormat/>
    <w:rsid w:val="00C87DA3"/>
    <w:rPr>
      <w:b/>
      <w:bCs/>
    </w:rPr>
  </w:style>
  <w:style w:type="character" w:styleId="a8">
    <w:name w:val="Emphasis"/>
    <w:basedOn w:val="a0"/>
    <w:uiPriority w:val="20"/>
    <w:qFormat/>
    <w:rsid w:val="00C87DA3"/>
    <w:rPr>
      <w:i/>
      <w:iCs/>
      <w:color w:val="C62324" w:themeColor="accent6"/>
    </w:rPr>
  </w:style>
  <w:style w:type="paragraph" w:styleId="a9">
    <w:name w:val="No Spacing"/>
    <w:uiPriority w:val="1"/>
    <w:qFormat/>
    <w:rsid w:val="00C87DA3"/>
    <w:pPr>
      <w:spacing w:after="0" w:line="240" w:lineRule="auto"/>
    </w:pPr>
  </w:style>
  <w:style w:type="paragraph" w:styleId="aa">
    <w:name w:val="Quote"/>
    <w:link w:val="Char3"/>
    <w:uiPriority w:val="29"/>
    <w:qFormat/>
    <w:rsid w:val="00C87DA3"/>
    <w:pPr>
      <w:spacing w:before="160"/>
      <w:ind w:left="720" w:right="720"/>
      <w:jc w:val="center"/>
    </w:pPr>
    <w:rPr>
      <w:i/>
      <w:iCs/>
      <w:color w:val="262626" w:themeColor="text1" w:themeTint="D9"/>
    </w:rPr>
  </w:style>
  <w:style w:type="character" w:customStyle="1" w:styleId="Char3">
    <w:name w:val="اقتباس Char"/>
    <w:basedOn w:val="a0"/>
    <w:link w:val="aa"/>
    <w:uiPriority w:val="29"/>
    <w:rsid w:val="00C87DA3"/>
    <w:rPr>
      <w:i/>
      <w:iCs/>
      <w:color w:val="262626" w:themeColor="text1" w:themeTint="D9"/>
    </w:rPr>
  </w:style>
  <w:style w:type="paragraph" w:styleId="ab">
    <w:name w:val="Intense Quote"/>
    <w:link w:val="Char4"/>
    <w:uiPriority w:val="30"/>
    <w:qFormat/>
    <w:rsid w:val="00C87DA3"/>
    <w:pPr>
      <w:spacing w:before="160" w:after="160" w:line="264" w:lineRule="auto"/>
      <w:ind w:left="720" w:right="720"/>
      <w:jc w:val="center"/>
    </w:pPr>
    <w:rPr>
      <w:rFonts w:asciiTheme="majorHAnsi" w:eastAsiaTheme="majorEastAsia" w:hAnsiTheme="majorHAnsi" w:cstheme="majorBidi"/>
      <w:i/>
      <w:iCs/>
      <w:color w:val="C62324" w:themeColor="accent6"/>
      <w:sz w:val="32"/>
      <w:szCs w:val="32"/>
    </w:rPr>
  </w:style>
  <w:style w:type="character" w:customStyle="1" w:styleId="Char4">
    <w:name w:val="اقتباس مكثف Char"/>
    <w:basedOn w:val="a0"/>
    <w:link w:val="ab"/>
    <w:uiPriority w:val="30"/>
    <w:rsid w:val="00C87DA3"/>
    <w:rPr>
      <w:rFonts w:asciiTheme="majorHAnsi" w:eastAsiaTheme="majorEastAsia" w:hAnsiTheme="majorHAnsi" w:cstheme="majorBidi"/>
      <w:i/>
      <w:iCs/>
      <w:color w:val="C62324" w:themeColor="accent6"/>
      <w:sz w:val="32"/>
      <w:szCs w:val="32"/>
    </w:rPr>
  </w:style>
  <w:style w:type="character" w:styleId="ac">
    <w:name w:val="Subtle Emphasis"/>
    <w:basedOn w:val="a0"/>
    <w:uiPriority w:val="19"/>
    <w:qFormat/>
    <w:rsid w:val="00C87DA3"/>
    <w:rPr>
      <w:i/>
      <w:iCs/>
    </w:rPr>
  </w:style>
  <w:style w:type="character" w:styleId="ad">
    <w:name w:val="Intense Emphasis"/>
    <w:basedOn w:val="a0"/>
    <w:uiPriority w:val="21"/>
    <w:qFormat/>
    <w:rsid w:val="00C87DA3"/>
    <w:rPr>
      <w:b/>
      <w:bCs/>
      <w:i/>
      <w:iCs/>
    </w:rPr>
  </w:style>
  <w:style w:type="character" w:styleId="ae">
    <w:name w:val="Subtle Reference"/>
    <w:basedOn w:val="a0"/>
    <w:uiPriority w:val="31"/>
    <w:qFormat/>
    <w:rsid w:val="00C87DA3"/>
    <w:rPr>
      <w:smallCaps/>
      <w:color w:val="595959" w:themeColor="text1" w:themeTint="A6"/>
    </w:rPr>
  </w:style>
  <w:style w:type="character" w:styleId="af">
    <w:name w:val="Intense Reference"/>
    <w:basedOn w:val="a0"/>
    <w:uiPriority w:val="32"/>
    <w:qFormat/>
    <w:rsid w:val="00C87DA3"/>
    <w:rPr>
      <w:b/>
      <w:bCs/>
      <w:smallCaps/>
      <w:color w:val="C62324" w:themeColor="accent6"/>
    </w:rPr>
  </w:style>
  <w:style w:type="character" w:styleId="af0">
    <w:name w:val="Book Title"/>
    <w:basedOn w:val="a0"/>
    <w:uiPriority w:val="33"/>
    <w:qFormat/>
    <w:rsid w:val="00C87DA3"/>
    <w:rPr>
      <w:b/>
      <w:bCs/>
      <w:caps w:val="0"/>
      <w:smallCaps/>
      <w:spacing w:val="7"/>
      <w:sz w:val="21"/>
      <w:szCs w:val="21"/>
    </w:rPr>
  </w:style>
  <w:style w:type="paragraph" w:styleId="af1">
    <w:name w:val="TOC Heading"/>
    <w:uiPriority w:val="39"/>
    <w:semiHidden/>
    <w:unhideWhenUsed/>
    <w:qFormat/>
    <w:rsid w:val="00C87DA3"/>
  </w:style>
  <w:style w:type="table" w:styleId="af2">
    <w:name w:val="Table Grid"/>
    <w:basedOn w:val="a1"/>
    <w:uiPriority w:val="39"/>
    <w:rsid w:val="00C87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uiPriority w:val="34"/>
    <w:qFormat/>
    <w:rsid w:val="00E035E9"/>
    <w:pPr>
      <w:ind w:left="720"/>
      <w:contextualSpacing/>
    </w:pPr>
  </w:style>
  <w:style w:type="paragraph" w:styleId="af4">
    <w:name w:val="Normal (Web)"/>
    <w:uiPriority w:val="99"/>
    <w:unhideWhenUsed/>
    <w:rsid w:val="001A1C9C"/>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alloon Text"/>
    <w:link w:val="Char5"/>
    <w:uiPriority w:val="99"/>
    <w:semiHidden/>
    <w:unhideWhenUsed/>
    <w:rsid w:val="00AF52F5"/>
    <w:pPr>
      <w:spacing w:after="0" w:line="240" w:lineRule="auto"/>
    </w:pPr>
    <w:rPr>
      <w:rFonts w:ascii="Tahoma" w:hAnsi="Tahoma" w:cs="Tahoma"/>
      <w:sz w:val="16"/>
      <w:szCs w:val="16"/>
    </w:rPr>
  </w:style>
  <w:style w:type="character" w:customStyle="1" w:styleId="Char5">
    <w:name w:val="نص في بالون Char"/>
    <w:basedOn w:val="a0"/>
    <w:link w:val="af5"/>
    <w:uiPriority w:val="99"/>
    <w:semiHidden/>
    <w:rsid w:val="00AF52F5"/>
    <w:rPr>
      <w:rFonts w:ascii="Tahoma" w:hAnsi="Tahoma" w:cs="Tahoma"/>
      <w:sz w:val="16"/>
      <w:szCs w:val="16"/>
    </w:rPr>
  </w:style>
  <w:style w:type="character" w:styleId="Hyperlink">
    <w:name w:val="Hyperlink"/>
    <w:basedOn w:val="a0"/>
    <w:uiPriority w:val="99"/>
    <w:unhideWhenUsed/>
    <w:rsid w:val="00E606C2"/>
    <w:rPr>
      <w:color w:val="0D2E46" w:themeColor="hyperlink"/>
      <w:u w:val="single"/>
    </w:rPr>
  </w:style>
  <w:style w:type="character" w:customStyle="1" w:styleId="UnresolvedMention">
    <w:name w:val="Unresolved Mention"/>
    <w:basedOn w:val="a0"/>
    <w:uiPriority w:val="99"/>
    <w:semiHidden/>
    <w:unhideWhenUsed/>
    <w:rsid w:val="00F27711"/>
    <w:rPr>
      <w:color w:val="605E5C"/>
      <w:shd w:val="clear" w:color="auto" w:fill="E1DFDD"/>
    </w:rPr>
  </w:style>
  <w:style w:type="numbering" w:customStyle="1" w:styleId="NoList1">
    <w:name w:val="No List1"/>
    <w:next w:val="a2"/>
    <w:uiPriority w:val="99"/>
    <w:semiHidden/>
    <w:unhideWhenUsed/>
    <w:rsid w:val="008209AD"/>
  </w:style>
  <w:style w:type="character" w:customStyle="1" w:styleId="fontstyle01">
    <w:name w:val="fontstyle01"/>
    <w:basedOn w:val="a0"/>
    <w:rsid w:val="008209AD"/>
    <w:rPr>
      <w:rFonts w:ascii="CenturyGothic-Bold" w:hAnsi="CenturyGothic-Bold" w:hint="default"/>
      <w:b/>
      <w:bCs/>
      <w:i w:val="0"/>
      <w:iCs w:val="0"/>
      <w:color w:val="C62324"/>
      <w:sz w:val="24"/>
      <w:szCs w:val="24"/>
    </w:rPr>
  </w:style>
  <w:style w:type="table" w:customStyle="1" w:styleId="TableGrid1">
    <w:name w:val="Table Grid1"/>
    <w:basedOn w:val="a1"/>
    <w:next w:val="af2"/>
    <w:uiPriority w:val="39"/>
    <w:rsid w:val="008209AD"/>
    <w:pPr>
      <w:spacing w:after="0" w:line="240" w:lineRule="auto"/>
    </w:pPr>
    <w:rPr>
      <w:rFonts w:ascii="Times New Roman" w:eastAsiaTheme="minorHAnsi" w:hAnsi="Times New Roman" w:cs="Times New Roman"/>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جدول شبكة 1 فاتح - تمييز 41"/>
    <w:basedOn w:val="a1"/>
    <w:uiPriority w:val="46"/>
    <w:rsid w:val="008209AD"/>
    <w:pPr>
      <w:spacing w:after="0" w:line="240" w:lineRule="auto"/>
    </w:pPr>
    <w:rPr>
      <w:rFonts w:eastAsiaTheme="minorHAnsi"/>
      <w:sz w:val="22"/>
      <w:szCs w:val="22"/>
    </w:rPr>
    <w:tblPr>
      <w:tblStyleRowBandSize w:val="1"/>
      <w:tblStyleColBandSize w:val="1"/>
      <w:tblBorders>
        <w:top w:val="single" w:sz="4" w:space="0" w:color="C6EA93" w:themeColor="accent4" w:themeTint="66"/>
        <w:left w:val="single" w:sz="4" w:space="0" w:color="C6EA93" w:themeColor="accent4" w:themeTint="66"/>
        <w:bottom w:val="single" w:sz="4" w:space="0" w:color="C6EA93" w:themeColor="accent4" w:themeTint="66"/>
        <w:right w:val="single" w:sz="4" w:space="0" w:color="C6EA93" w:themeColor="accent4" w:themeTint="66"/>
        <w:insideH w:val="single" w:sz="4" w:space="0" w:color="C6EA93" w:themeColor="accent4" w:themeTint="66"/>
        <w:insideV w:val="single" w:sz="4" w:space="0" w:color="C6EA93" w:themeColor="accent4" w:themeTint="66"/>
      </w:tblBorders>
    </w:tblPr>
    <w:tblStylePr w:type="firstRow">
      <w:rPr>
        <w:b/>
        <w:bCs/>
      </w:rPr>
      <w:tblPr/>
      <w:tcPr>
        <w:tcBorders>
          <w:bottom w:val="single" w:sz="12" w:space="0" w:color="AADF5D" w:themeColor="accent4" w:themeTint="99"/>
        </w:tcBorders>
      </w:tcPr>
    </w:tblStylePr>
    <w:tblStylePr w:type="lastRow">
      <w:rPr>
        <w:b/>
        <w:bCs/>
      </w:rPr>
      <w:tblPr/>
      <w:tcPr>
        <w:tcBorders>
          <w:top w:val="double" w:sz="2" w:space="0" w:color="AADF5D" w:themeColor="accent4" w:themeTint="99"/>
        </w:tcBorders>
      </w:tcPr>
    </w:tblStylePr>
    <w:tblStylePr w:type="firstCol">
      <w:rPr>
        <w:b/>
        <w:bCs/>
      </w:rPr>
    </w:tblStylePr>
    <w:tblStylePr w:type="lastCol">
      <w:rPr>
        <w:b/>
        <w:bCs/>
      </w:rPr>
    </w:tblStylePr>
  </w:style>
  <w:style w:type="table" w:customStyle="1" w:styleId="2-21">
    <w:name w:val="جدول شبكة 2 - تمييز 21"/>
    <w:basedOn w:val="a1"/>
    <w:uiPriority w:val="47"/>
    <w:rsid w:val="008209AD"/>
    <w:pPr>
      <w:spacing w:after="0" w:line="240" w:lineRule="auto"/>
    </w:pPr>
    <w:rPr>
      <w:rFonts w:eastAsiaTheme="minorHAnsi"/>
      <w:sz w:val="22"/>
      <w:szCs w:val="22"/>
    </w:rPr>
    <w:tblPr>
      <w:tblStyleRowBandSize w:val="1"/>
      <w:tblStyleColBandSize w:val="1"/>
      <w:tblBorders>
        <w:top w:val="single" w:sz="24" w:space="0" w:color="FFC000"/>
        <w:bottom w:val="single" w:sz="24" w:space="0" w:color="FFC000"/>
        <w:insideH w:val="single" w:sz="24" w:space="0" w:color="FFC000"/>
        <w:insideV w:val="single" w:sz="24" w:space="0" w:color="FFC000"/>
      </w:tblBorders>
    </w:tblPr>
    <w:tcPr>
      <w:shd w:val="clear" w:color="auto" w:fill="FFFFFF" w:themeFill="background1"/>
    </w:tcPr>
    <w:tblStylePr w:type="firstRow">
      <w:rPr>
        <w:b/>
        <w:bCs/>
      </w:rPr>
      <w:tblPr/>
      <w:tcPr>
        <w:tcBorders>
          <w:top w:val="nil"/>
          <w:bottom w:val="single" w:sz="12" w:space="0" w:color="EF47C8" w:themeColor="accent2" w:themeTint="99"/>
          <w:insideH w:val="nil"/>
          <w:insideV w:val="nil"/>
        </w:tcBorders>
        <w:shd w:val="clear" w:color="auto" w:fill="FFFFFF" w:themeFill="background1"/>
      </w:tcPr>
    </w:tblStylePr>
    <w:tblStylePr w:type="lastRow">
      <w:rPr>
        <w:b/>
        <w:bCs/>
      </w:rPr>
      <w:tblPr/>
      <w:tcPr>
        <w:tcBorders>
          <w:top w:val="double" w:sz="2" w:space="0" w:color="EF47C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1EC" w:themeFill="accent2" w:themeFillTint="33"/>
      </w:tcPr>
    </w:tblStylePr>
    <w:tblStylePr w:type="band1Horz">
      <w:tblPr/>
      <w:tcPr>
        <w:shd w:val="clear" w:color="auto" w:fill="F9C1EC" w:themeFill="accent2" w:themeFillTint="33"/>
      </w:tcPr>
    </w:tblStylePr>
  </w:style>
  <w:style w:type="character" w:styleId="af6">
    <w:name w:val="FollowedHyperlink"/>
    <w:basedOn w:val="a0"/>
    <w:uiPriority w:val="99"/>
    <w:semiHidden/>
    <w:unhideWhenUsed/>
    <w:rsid w:val="00CB55DD"/>
    <w:rPr>
      <w:color w:val="356A95" w:themeColor="followedHyperlink"/>
      <w:u w:val="single"/>
    </w:rPr>
  </w:style>
  <w:style w:type="paragraph" w:styleId="af7">
    <w:name w:val="Subtitle"/>
    <w:basedOn w:val="a"/>
    <w:next w:val="a"/>
    <w:pPr>
      <w:spacing w:line="240" w:lineRule="auto"/>
    </w:pPr>
    <w:rPr>
      <w:sz w:val="30"/>
      <w:szCs w:val="30"/>
    </w:rPr>
  </w:style>
  <w:style w:type="table" w:customStyle="1" w:styleId="af8">
    <w:basedOn w:val="TableNormal"/>
    <w:pPr>
      <w:spacing w:after="0" w:line="240" w:lineRule="auto"/>
    </w:pPr>
    <w:tblPr>
      <w:tblStyleRowBandSize w:val="1"/>
      <w:tblStyleColBandSize w:val="1"/>
      <w:tblCellMar>
        <w:top w:w="72"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uofallujah.edu.iq/" TargetMode="External"/><Relationship Id="rId13" Type="http://schemas.openxmlformats.org/officeDocument/2006/relationships/hyperlink" Target="https://coadec.uofallujah.edu.iq/en/academic-program-economy" TargetMode="External"/><Relationship Id="rId18" Type="http://schemas.openxmlformats.org/officeDocument/2006/relationships/hyperlink" Target="https://coas.uofallujah.edu.iq/en/academic-program-acdept" TargetMode="External"/><Relationship Id="rId26" Type="http://schemas.openxmlformats.org/officeDocument/2006/relationships/hyperlink" Target="https://www.uofallujah.edu.iq/en/c-college-veterinary" TargetMode="External"/><Relationship Id="rId3" Type="http://schemas.openxmlformats.org/officeDocument/2006/relationships/styles" Target="styles.xml"/><Relationship Id="rId21" Type="http://schemas.openxmlformats.org/officeDocument/2006/relationships/hyperlink" Target="https://coas.uofallujah.edu.iq/en/academic-program-padep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vet.uofallujah.edu.iq/sites/default/files/2025-09/Program%20Catalogue.pdf" TargetMode="External"/><Relationship Id="rId17" Type="http://schemas.openxmlformats.org/officeDocument/2006/relationships/hyperlink" Target="https://coadec.uofallujah.edu.iq/en/academic-program-accounting" TargetMode="External"/><Relationship Id="rId25" Type="http://schemas.openxmlformats.org/officeDocument/2006/relationships/hyperlink" Target="https://www.uofallujah.edu.iq/en/c-college-administration-and-economic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adec.uofallujah.edu.iq/en/academic-program-public-administration" TargetMode="External"/><Relationship Id="rId20" Type="http://schemas.openxmlformats.org/officeDocument/2006/relationships/hyperlink" Target="https://coas.uofallujah.edu.iq/en/academic-program-mpdept"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ofallujah.edu.iq/en/quality-assurance-bologna" TargetMode="External"/><Relationship Id="rId24" Type="http://schemas.openxmlformats.org/officeDocument/2006/relationships/hyperlink" Target="https://www.uofallujah.edu.iq/"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adec.uofallujah.edu.iq/en/academic-program-department-business-administration" TargetMode="External"/><Relationship Id="rId23" Type="http://schemas.openxmlformats.org/officeDocument/2006/relationships/image" Target="media/image1.jpg"/><Relationship Id="rId28" Type="http://schemas.openxmlformats.org/officeDocument/2006/relationships/chart" Target="charts/chart2.xml"/><Relationship Id="rId10" Type="http://schemas.openxmlformats.org/officeDocument/2006/relationships/hyperlink" Target="https://www.uofallujah.edu.iq/en/quality-assurance-bologna" TargetMode="External"/><Relationship Id="rId19" Type="http://schemas.openxmlformats.org/officeDocument/2006/relationships/hyperlink" Target="https://coas.uofallujah.edu.iq/en/academic-program-btdep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ofallujah.edu.iq/en/quality-assurance-and-university-performance-department" TargetMode="External"/><Relationship Id="rId14" Type="http://schemas.openxmlformats.org/officeDocument/2006/relationships/hyperlink" Target="https://coadec.uofallujah.edu.iq/en/academic-program-financial-and-banking-sciences" TargetMode="External"/><Relationship Id="rId22" Type="http://schemas.openxmlformats.org/officeDocument/2006/relationships/hyperlink" Target="https://www.uofallujah.edu.iq/sites/default/files/2025-12/%D9%A2%D9%A0%D9%A2%D9%A4_%D9%A2%D9%A0%D9%A2%D9%A5%E2%80%8E%E2%81%A8%D8%AF%D9%84%D9%8A%D9%84%20%D9%85%D8%B3%D8%A7%D8%B1%20%D8%A8%D9%88%D9%84%D9%88%D9%86%D9%8A%D8%A7%20%D9%81%D9%8A%20%D8%AC%D8%A7%D9%85%D8%B9%D8%A9%20%D8%A7%D9%84%D9%81%D9%84%D9%88%D8%AC%D8%A9%20%E2%81%A9.pdf" TargetMode="External"/><Relationship Id="rId27" Type="http://schemas.openxmlformats.org/officeDocument/2006/relationships/chart" Target="charts/chart1.xml"/><Relationship Id="rId30" Type="http://schemas.openxmlformats.org/officeDocument/2006/relationships/chart" Target="charts/chart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TOTEL NO.</a:t>
            </a:r>
            <a:r>
              <a:rPr lang="en-US" baseline="0"/>
              <a:t> OF STUDENT</a:t>
            </a:r>
            <a:r>
              <a:rPr lang="en-US"/>
              <a:t> 1624</a:t>
            </a:r>
            <a:endParaRPr lang="ar-IQ"/>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IQ"/>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94-43BC-AF28-EF81917C7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94-43BC-AF28-EF81917C73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IQ"/>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ورقة1!$A$1:$B$1</c:f>
              <c:strCache>
                <c:ptCount val="2"/>
                <c:pt idx="0">
                  <c:v>MALE </c:v>
                </c:pt>
                <c:pt idx="1">
                  <c:v>FEMALE</c:v>
                </c:pt>
              </c:strCache>
            </c:strRef>
          </c:cat>
          <c:val>
            <c:numRef>
              <c:f>ورقة1!$A$2:$B$2</c:f>
              <c:numCache>
                <c:formatCode>General</c:formatCode>
                <c:ptCount val="2"/>
                <c:pt idx="0">
                  <c:v>552</c:v>
                </c:pt>
                <c:pt idx="1">
                  <c:v>1072</c:v>
                </c:pt>
              </c:numCache>
            </c:numRef>
          </c:val>
          <c:extLst>
            <c:ext xmlns:c16="http://schemas.microsoft.com/office/drawing/2014/chart" uri="{C3380CC4-5D6E-409C-BE32-E72D297353CC}">
              <c16:uniqueId val="{00000004-0194-43BC-AF28-EF81917C738C}"/>
            </c:ext>
          </c:extLst>
        </c:ser>
        <c:dLbls>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SUCSESS DISTURBATION</a:t>
            </a:r>
            <a:endParaRPr lang="ar-IQ"/>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IQ"/>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D6-4DA0-B470-3D291E59B6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D6-4DA0-B470-3D291E59B6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IQ"/>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ورقة1!$C$1:$D$1</c:f>
              <c:strCache>
                <c:ptCount val="2"/>
                <c:pt idx="0">
                  <c:v>FALIUR </c:v>
                </c:pt>
                <c:pt idx="1">
                  <c:v>SUCSESS</c:v>
                </c:pt>
              </c:strCache>
            </c:strRef>
          </c:cat>
          <c:val>
            <c:numRef>
              <c:f>ورقة1!$C$2:$D$2</c:f>
              <c:numCache>
                <c:formatCode>General</c:formatCode>
                <c:ptCount val="2"/>
                <c:pt idx="0">
                  <c:v>339</c:v>
                </c:pt>
                <c:pt idx="1">
                  <c:v>1370</c:v>
                </c:pt>
              </c:numCache>
            </c:numRef>
          </c:val>
          <c:extLst>
            <c:ext xmlns:c16="http://schemas.microsoft.com/office/drawing/2014/chart" uri="{C3380CC4-5D6E-409C-BE32-E72D297353CC}">
              <c16:uniqueId val="{00000004-79D6-4DA0-B470-3D291E59B6A2}"/>
            </c:ext>
          </c:extLst>
        </c:ser>
        <c:dLbls>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DISTURBATION</a:t>
            </a:r>
            <a:r>
              <a:rPr lang="en-US" baseline="0"/>
              <a:t> OF DEGREE</a:t>
            </a:r>
            <a:endParaRPr lang="ar-IQ"/>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IQ"/>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FA-424E-986A-3818D4866A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FA-424E-986A-3818D4866A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IQ"/>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ورقة1!$E$1:$F$1</c:f>
              <c:strCache>
                <c:ptCount val="2"/>
                <c:pt idx="0">
                  <c:v>RATIO 50-75%</c:v>
                </c:pt>
                <c:pt idx="1">
                  <c:v> RATIO 76-100% </c:v>
                </c:pt>
              </c:strCache>
            </c:strRef>
          </c:cat>
          <c:val>
            <c:numRef>
              <c:f>ورقة1!$E$2:$F$2</c:f>
              <c:numCache>
                <c:formatCode>General</c:formatCode>
                <c:ptCount val="2"/>
                <c:pt idx="0">
                  <c:v>1132</c:v>
                </c:pt>
                <c:pt idx="1">
                  <c:v>287</c:v>
                </c:pt>
              </c:numCache>
            </c:numRef>
          </c:val>
          <c:extLst>
            <c:ext xmlns:c16="http://schemas.microsoft.com/office/drawing/2014/chart" uri="{C3380CC4-5D6E-409C-BE32-E72D297353CC}">
              <c16:uniqueId val="{00000004-96FA-424E-986A-3818D4866A4A}"/>
            </c:ext>
          </c:extLst>
        </c:ser>
        <c:dLbls>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TEACHING STAFF DISTURPATION</a:t>
            </a:r>
            <a:endParaRPr lang="ar-IQ"/>
          </a:p>
        </c:rich>
      </c:tx>
      <c:layout>
        <c:manualLayout>
          <c:xMode val="edge"/>
          <c:yMode val="edge"/>
          <c:x val="2.3222222222222262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IQ"/>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71-47CA-9AD2-02EF0AD9C1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71-47CA-9AD2-02EF0AD9C1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71-47CA-9AD2-02EF0AD9C1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IQ"/>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ورقة1!$G$1:$I$1</c:f>
              <c:strCache>
                <c:ptCount val="3"/>
                <c:pt idx="0">
                  <c:v>N0.OF TEACHER</c:v>
                </c:pt>
                <c:pt idx="1">
                  <c:v>N0.OF TEACHER POLONIA</c:v>
                </c:pt>
                <c:pt idx="2">
                  <c:v> (API)</c:v>
                </c:pt>
              </c:strCache>
            </c:strRef>
          </c:cat>
          <c:val>
            <c:numRef>
              <c:f>ورقة1!$G$2:$I$2</c:f>
              <c:numCache>
                <c:formatCode>General</c:formatCode>
                <c:ptCount val="3"/>
                <c:pt idx="0">
                  <c:v>530</c:v>
                </c:pt>
                <c:pt idx="1">
                  <c:v>180</c:v>
                </c:pt>
                <c:pt idx="2">
                  <c:v>0</c:v>
                </c:pt>
              </c:numCache>
            </c:numRef>
          </c:val>
          <c:extLst>
            <c:ext xmlns:c16="http://schemas.microsoft.com/office/drawing/2014/chart" uri="{C3380CC4-5D6E-409C-BE32-E72D297353CC}">
              <c16:uniqueId val="{00000006-1871-47CA-9AD2-02EF0AD9C181}"/>
            </c:ext>
          </c:extLst>
        </c:ser>
        <c:dLbls>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CPlfOdD4hhTb1w2MhX8FFsJoAA==">CgMxLjAyDmguaDhhMXFlaTZ3cDQyOAByITFyaDI1alNXZ1NMNEZDMWZqYzZVQU84MGdoaldnWVluMg==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4115</Words>
  <Characters>23458</Characters>
  <Application>Microsoft Office Word</Application>
  <DocSecurity>0</DocSecurity>
  <Lines>195</Lines>
  <Paragraphs>55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Salah Yahya</dc:creator>
  <cp:lastModifiedBy>MSI</cp:lastModifiedBy>
  <cp:revision>2</cp:revision>
  <dcterms:created xsi:type="dcterms:W3CDTF">2026-04-14T09:36:00Z</dcterms:created>
  <dcterms:modified xsi:type="dcterms:W3CDTF">2026-04-14T09:36:00Z</dcterms:modified>
</cp:coreProperties>
</file>